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VPN及数据备份系统询比采购文件</w:t>
      </w:r>
    </w:p>
    <w:p>
      <w:pPr>
        <w:pStyle w:val="13"/>
        <w:widowControl/>
        <w:shd w:val="clear" w:color="auto" w:fill="FFFFFF"/>
        <w:spacing w:before="0" w:beforeAutospacing="0" w:after="0" w:afterAutospacing="0" w:line="592" w:lineRule="exact"/>
        <w:ind w:firstLine="645"/>
        <w:rPr>
          <w:rFonts w:ascii="仿宋_GB2312" w:hAnsi="仿宋_GB2312" w:eastAsia="仿宋_GB2312" w:cs="仿宋_GB2312"/>
          <w:sz w:val="32"/>
          <w:szCs w:val="32"/>
        </w:rPr>
      </w:pPr>
    </w:p>
    <w:p>
      <w:pPr>
        <w:pStyle w:val="2"/>
        <w:spacing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ind w:firstLine="640" w:firstLineChars="200"/>
        <w:rPr>
          <w:rFonts w:ascii="仿宋" w:hAnsi="仿宋" w:eastAsia="仿宋" w:cs="仿宋"/>
          <w:sz w:val="32"/>
          <w:szCs w:val="32"/>
        </w:rPr>
      </w:pPr>
      <w:r>
        <w:rPr>
          <w:rFonts w:hint="eastAsia" w:ascii="仿宋" w:hAnsi="仿宋" w:eastAsia="仿宋" w:cs="仿宋"/>
          <w:sz w:val="32"/>
          <w:szCs w:val="32"/>
        </w:rPr>
        <w:t>（一）项目名称：VPN及数据备份系统</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（二）项目预算：17.85万元</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（三）项目地点：安徽省合肥市</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（四）项目单位：合肥市大数据资产运营有限公司</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（五）采购方式：询比</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（六）评审方法：综合评分法</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（七）服务期限：成交供应商负责将全新原包装产品交付至采购人指定位置，所有运输及安装调试和培训工作均由成交供应商负责并在合同生效后30 天内完成，所有费用由成交供应商承担。免费售后服务期限3年。</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二、供应商资格要求</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rPr>
      </w:pPr>
      <w:r>
        <w:rPr>
          <w:rFonts w:hint="eastAsia" w:ascii="仿宋" w:hAnsi="仿宋" w:eastAsia="仿宋" w:cs="仿宋"/>
          <w:kern w:val="2"/>
          <w:sz w:val="32"/>
          <w:szCs w:val="32"/>
        </w:rPr>
        <w:t>（一）、供应商具有有效的营业执照。</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rPr>
      </w:pPr>
      <w:r>
        <w:rPr>
          <w:rFonts w:hint="eastAsia" w:ascii="仿宋" w:hAnsi="仿宋" w:eastAsia="仿宋" w:cs="仿宋"/>
          <w:kern w:val="2"/>
          <w:sz w:val="32"/>
          <w:szCs w:val="32"/>
        </w:rPr>
        <w:t>（二）、供应商存在以下不良信用记录情形之一的，不得参与本次询比：</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rPr>
      </w:pPr>
      <w:r>
        <w:rPr>
          <w:rFonts w:hint="eastAsia" w:ascii="仿宋" w:hAnsi="仿宋" w:eastAsia="仿宋" w:cs="仿宋"/>
          <w:kern w:val="2"/>
          <w:sz w:val="32"/>
          <w:szCs w:val="32"/>
        </w:rPr>
        <w:t>1.在“中国执行信息公开网”上列为失信被执行人的；</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rPr>
      </w:pPr>
      <w:r>
        <w:rPr>
          <w:rFonts w:hint="eastAsia" w:ascii="仿宋" w:hAnsi="仿宋" w:eastAsia="仿宋" w:cs="仿宋"/>
          <w:kern w:val="2"/>
          <w:sz w:val="32"/>
          <w:szCs w:val="32"/>
        </w:rPr>
        <w:t xml:space="preserve">2.在“国家企业信用信息公示系统”上被列入严重违法失信企业名单的； </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rPr>
      </w:pPr>
      <w:r>
        <w:rPr>
          <w:rFonts w:hint="eastAsia" w:ascii="仿宋" w:hAnsi="仿宋" w:eastAsia="仿宋" w:cs="仿宋"/>
          <w:kern w:val="2"/>
          <w:sz w:val="32"/>
          <w:szCs w:val="32"/>
        </w:rPr>
        <w:t>3.在“信用中国”上被列为重大税收违法失信主体的。</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rPr>
      </w:pPr>
      <w:r>
        <w:rPr>
          <w:rFonts w:hint="eastAsia" w:ascii="仿宋" w:hAnsi="仿宋" w:eastAsia="仿宋" w:cs="仿宋"/>
          <w:kern w:val="2"/>
          <w:sz w:val="32"/>
          <w:szCs w:val="32"/>
        </w:rPr>
        <w:t>4、在“中国裁判文书网”上查询供应商或其法定代表人或拟派项目经理(项目负责人)具有行贿犯罪记录的。</w:t>
      </w:r>
    </w:p>
    <w:p>
      <w:pPr>
        <w:ind w:firstLine="640" w:firstLineChars="200"/>
        <w:rPr>
          <w:rFonts w:ascii="仿宋" w:hAnsi="仿宋" w:eastAsia="仿宋" w:cs="仿宋"/>
          <w:sz w:val="32"/>
          <w:szCs w:val="32"/>
        </w:rPr>
      </w:pPr>
      <w:r>
        <w:rPr>
          <w:rFonts w:hint="eastAsia" w:ascii="仿宋" w:hAnsi="仿宋" w:eastAsia="仿宋" w:cs="仿宋"/>
          <w:sz w:val="32"/>
          <w:szCs w:val="32"/>
        </w:rPr>
        <w:t>（三）、本项目不接受联合体响应。</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三、服务内容</w:t>
      </w:r>
    </w:p>
    <w:p>
      <w:pPr>
        <w:ind w:firstLine="640" w:firstLineChars="200"/>
        <w:rPr>
          <w:rFonts w:ascii="仿宋" w:hAnsi="仿宋" w:eastAsia="仿宋" w:cs="仿宋"/>
          <w:sz w:val="32"/>
          <w:szCs w:val="32"/>
        </w:rPr>
      </w:pPr>
      <w:r>
        <w:rPr>
          <w:rFonts w:hint="eastAsia" w:ascii="仿宋" w:hAnsi="仿宋" w:eastAsia="仿宋" w:cs="仿宋"/>
          <w:sz w:val="32"/>
          <w:szCs w:val="32"/>
        </w:rPr>
        <w:t>建设覆盖约350台台式终端（ windows 系统）及移动终端（不区分 Android 、IOS ）的 SSL VPN 拨号专网和服务器数据备份系统。</w:t>
      </w:r>
    </w:p>
    <w:p>
      <w:pPr>
        <w:ind w:firstLine="640" w:firstLineChars="200"/>
        <w:rPr>
          <w:rFonts w:ascii="仿宋" w:hAnsi="仿宋" w:eastAsia="仿宋" w:cs="仿宋"/>
          <w:sz w:val="32"/>
          <w:szCs w:val="32"/>
        </w:rPr>
      </w:pPr>
      <w:r>
        <w:rPr>
          <w:rFonts w:hint="eastAsia" w:ascii="仿宋" w:hAnsi="仿宋" w:eastAsia="仿宋" w:cs="仿宋"/>
          <w:sz w:val="32"/>
          <w:szCs w:val="32"/>
        </w:rPr>
        <w:t>1.成交的产品应能提供各种外网到公司内网的访问（支持 3 路及以上 ISP 网络接入），并能根据客户端用户的来源，自动选择最优线路。使公司员工能从任何场所随时访问和下载公司内的有关网络资源、使用内网办公系统和其它信息系统。支持和钉钉、企业微信绑定，实现安全接入的统一认证。</w:t>
      </w:r>
    </w:p>
    <w:p>
      <w:pPr>
        <w:ind w:firstLine="640" w:firstLineChars="200"/>
        <w:rPr>
          <w:rFonts w:ascii="仿宋" w:hAnsi="仿宋" w:eastAsia="仿宋" w:cs="仿宋"/>
          <w:sz w:val="32"/>
          <w:szCs w:val="32"/>
        </w:rPr>
      </w:pPr>
      <w:r>
        <w:rPr>
          <w:rFonts w:hint="eastAsia" w:ascii="仿宋" w:hAnsi="仿宋" w:eastAsia="仿宋" w:cs="仿宋"/>
          <w:sz w:val="32"/>
          <w:szCs w:val="32"/>
        </w:rPr>
        <w:t>2.成交的产品如为软件产品（或包含软件产品），该产品应具有自主知识产权，而非OEM 产品；供货时须提供厂家授权原件。成交的产品在安装并交付后，应将该产品的完全使用授权交付使用方。</w:t>
      </w:r>
    </w:p>
    <w:p>
      <w:pPr>
        <w:ind w:firstLine="640" w:firstLineChars="200"/>
        <w:rPr>
          <w:rFonts w:ascii="仿宋" w:hAnsi="仿宋" w:eastAsia="仿宋" w:cs="仿宋"/>
          <w:sz w:val="32"/>
          <w:szCs w:val="32"/>
        </w:rPr>
      </w:pPr>
      <w:r>
        <w:rPr>
          <w:rFonts w:hint="eastAsia" w:ascii="仿宋" w:hAnsi="仿宋" w:eastAsia="仿宋" w:cs="仿宋"/>
          <w:sz w:val="32"/>
          <w:szCs w:val="32"/>
        </w:rPr>
        <w:t>3.成交的产品应具有内部数据库认证功能。</w:t>
      </w:r>
    </w:p>
    <w:p>
      <w:pPr>
        <w:ind w:firstLine="640" w:firstLineChars="200"/>
        <w:rPr>
          <w:rFonts w:ascii="仿宋" w:hAnsi="仿宋" w:eastAsia="仿宋" w:cs="仿宋"/>
          <w:sz w:val="32"/>
          <w:szCs w:val="32"/>
        </w:rPr>
      </w:pPr>
      <w:r>
        <w:rPr>
          <w:rFonts w:hint="eastAsia" w:ascii="仿宋" w:hAnsi="仿宋" w:eastAsia="仿宋" w:cs="仿宋"/>
          <w:sz w:val="32"/>
          <w:szCs w:val="32"/>
        </w:rPr>
        <w:t>4.成交的产品应能提供 1000 个以上的注册用户，并 在公司现有网络带宽条件下，能保证用户请求的及时响应。</w:t>
      </w:r>
    </w:p>
    <w:p>
      <w:pPr>
        <w:ind w:firstLine="640" w:firstLineChars="200"/>
        <w:rPr>
          <w:rFonts w:ascii="仿宋" w:hAnsi="仿宋" w:eastAsia="仿宋" w:cs="仿宋"/>
          <w:sz w:val="32"/>
          <w:szCs w:val="32"/>
        </w:rPr>
      </w:pPr>
      <w:r>
        <w:rPr>
          <w:rFonts w:hint="eastAsia" w:ascii="仿宋" w:hAnsi="仿宋" w:eastAsia="仿宋" w:cs="仿宋"/>
          <w:sz w:val="32"/>
          <w:szCs w:val="32"/>
        </w:rPr>
        <w:t>5.成交的产品应具有较高的安全性能，在正常情况下能防止任何非授权用户访问公司内的有关网络资源和使用内网信息系统。能够实现针对用户的权限控制。访问权限应可授予单个用户或用户群，并能将单个用户和用户群的访问限制在具体的资源范围内。提供客户端环境检测，如检测客户端是否安装了防火墙和防病毒软件。当客户端不符合某个条件时，系统将禁止用户登陆 。</w:t>
      </w:r>
    </w:p>
    <w:p>
      <w:pPr>
        <w:ind w:firstLine="640" w:firstLineChars="200"/>
        <w:rPr>
          <w:rFonts w:ascii="仿宋" w:hAnsi="仿宋" w:eastAsia="仿宋" w:cs="仿宋"/>
          <w:sz w:val="32"/>
          <w:szCs w:val="32"/>
        </w:rPr>
      </w:pPr>
      <w:r>
        <w:rPr>
          <w:rFonts w:hint="eastAsia" w:ascii="仿宋" w:hAnsi="仿宋" w:eastAsia="仿宋" w:cs="仿宋"/>
          <w:sz w:val="32"/>
          <w:szCs w:val="32"/>
        </w:rPr>
        <w:t>6.成交的产品应提供 Web 资源映射，不用更换内部应用系统或暴露内部域名。</w:t>
      </w:r>
    </w:p>
    <w:p>
      <w:pPr>
        <w:ind w:firstLine="640" w:firstLineChars="200"/>
        <w:rPr>
          <w:rFonts w:ascii="仿宋" w:hAnsi="仿宋" w:eastAsia="仿宋" w:cs="仿宋"/>
          <w:sz w:val="32"/>
          <w:szCs w:val="32"/>
        </w:rPr>
      </w:pPr>
      <w:r>
        <w:rPr>
          <w:rFonts w:hint="eastAsia" w:ascii="仿宋" w:hAnsi="仿宋" w:eastAsia="仿宋" w:cs="仿宋"/>
          <w:sz w:val="32"/>
          <w:szCs w:val="32"/>
        </w:rPr>
        <w:t>7.成交产品可采用 Web 方式管理。</w:t>
      </w:r>
    </w:p>
    <w:p>
      <w:pPr>
        <w:ind w:firstLine="640" w:firstLineChars="200"/>
        <w:rPr>
          <w:rFonts w:ascii="仿宋" w:hAnsi="仿宋" w:eastAsia="仿宋" w:cs="仿宋"/>
          <w:sz w:val="32"/>
          <w:szCs w:val="32"/>
        </w:rPr>
      </w:pPr>
      <w:r>
        <w:rPr>
          <w:rFonts w:hint="eastAsia" w:ascii="仿宋" w:hAnsi="仿宋" w:eastAsia="仿宋" w:cs="仿宋"/>
          <w:sz w:val="32"/>
          <w:szCs w:val="32"/>
        </w:rPr>
        <w:t>8.成交的产品应符合我公司现有服务器、操作系统和网络环境的性能要求。</w:t>
      </w:r>
    </w:p>
    <w:p>
      <w:pPr>
        <w:ind w:firstLine="640" w:firstLineChars="200"/>
        <w:rPr>
          <w:rFonts w:ascii="仿宋" w:hAnsi="仿宋" w:eastAsia="仿宋" w:cs="仿宋"/>
          <w:sz w:val="32"/>
          <w:szCs w:val="32"/>
        </w:rPr>
      </w:pPr>
      <w:r>
        <w:rPr>
          <w:rFonts w:hint="eastAsia" w:ascii="仿宋" w:hAnsi="仿宋" w:eastAsia="仿宋" w:cs="仿宋"/>
          <w:sz w:val="32"/>
          <w:szCs w:val="32"/>
        </w:rPr>
        <w:t>9.成交的产品须采用 C /S 模式，无需在用户机安装软件和进行复杂的设置，用户利用系统已有的主流 WEB 浏览器即可访问内网资源。</w:t>
      </w:r>
    </w:p>
    <w:p>
      <w:pPr>
        <w:ind w:firstLine="640" w:firstLineChars="200"/>
        <w:rPr>
          <w:rFonts w:ascii="仿宋" w:hAnsi="仿宋" w:eastAsia="仿宋" w:cs="仿宋"/>
          <w:sz w:val="32"/>
          <w:szCs w:val="32"/>
        </w:rPr>
      </w:pPr>
      <w:r>
        <w:rPr>
          <w:rFonts w:hint="eastAsia" w:ascii="仿宋" w:hAnsi="仿宋" w:eastAsia="仿宋" w:cs="仿宋"/>
          <w:sz w:val="32"/>
          <w:szCs w:val="32"/>
        </w:rPr>
        <w:t>10.支持单个添加用户和批量添加用户，批量添加用户时，可同时为每个用户添加密码或统一设置默认密码。</w:t>
      </w:r>
    </w:p>
    <w:p>
      <w:pPr>
        <w:ind w:firstLine="640" w:firstLineChars="200"/>
        <w:rPr>
          <w:rFonts w:ascii="仿宋" w:hAnsi="仿宋" w:eastAsia="仿宋" w:cs="仿宋"/>
          <w:sz w:val="32"/>
          <w:szCs w:val="32"/>
        </w:rPr>
      </w:pPr>
      <w:r>
        <w:rPr>
          <w:rFonts w:hint="eastAsia" w:ascii="仿宋" w:hAnsi="仿宋" w:eastAsia="仿宋" w:cs="仿宋"/>
          <w:sz w:val="32"/>
          <w:szCs w:val="32"/>
        </w:rPr>
        <w:t>11.管理员可定义每个用户账号的有效时间段。当用户在一段时间没有任何操作时，系统应自动视为用户下线；超时时间应由管理员设定，可统一设置默认时间，也可单独针对单个用户定义，支持永久在线用户。系统应支持用户重认证，即用户使用一段时间后，系统自动提示用户重新输入用户名密码，若认证不通过，系统将断掉用户的VPN连接。认证的间隔时间由管理员设定。</w:t>
      </w:r>
    </w:p>
    <w:p>
      <w:pPr>
        <w:ind w:firstLine="640" w:firstLineChars="200"/>
        <w:rPr>
          <w:rFonts w:ascii="仿宋" w:hAnsi="仿宋" w:eastAsia="仿宋" w:cs="仿宋"/>
          <w:sz w:val="32"/>
          <w:szCs w:val="32"/>
        </w:rPr>
      </w:pPr>
      <w:r>
        <w:rPr>
          <w:rFonts w:hint="eastAsia" w:ascii="仿宋" w:hAnsi="仿宋" w:eastAsia="仿宋" w:cs="仿宋"/>
          <w:sz w:val="32"/>
          <w:szCs w:val="32"/>
        </w:rPr>
        <w:t>12.系统应为每个用户提供能使用服务的服务列表，每种服务可由管理员划分到不同的服务组里，并能定义是否显示给最终用户。每个文件、网址或应用都可进行单独设置，使访问控制更易于管理 。</w:t>
      </w:r>
    </w:p>
    <w:p>
      <w:pPr>
        <w:ind w:firstLine="640" w:firstLineChars="200"/>
        <w:rPr>
          <w:rFonts w:ascii="仿宋" w:hAnsi="仿宋" w:eastAsia="仿宋" w:cs="仿宋"/>
          <w:sz w:val="32"/>
          <w:szCs w:val="32"/>
        </w:rPr>
      </w:pPr>
      <w:r>
        <w:rPr>
          <w:rFonts w:hint="eastAsia" w:ascii="仿宋" w:hAnsi="仿宋" w:eastAsia="仿宋" w:cs="仿宋"/>
          <w:sz w:val="32"/>
          <w:szCs w:val="32"/>
        </w:rPr>
        <w:t>13.根据管理员的应用程序关联或用户自定义，每个服务都可使用鼠标在服务列表上一次点击，就能启动客户端程序。</w:t>
      </w:r>
    </w:p>
    <w:p>
      <w:pPr>
        <w:ind w:firstLine="640" w:firstLineChars="200"/>
        <w:rPr>
          <w:rFonts w:ascii="仿宋" w:hAnsi="仿宋" w:eastAsia="仿宋" w:cs="仿宋"/>
          <w:sz w:val="32"/>
          <w:szCs w:val="32"/>
        </w:rPr>
      </w:pPr>
      <w:r>
        <w:rPr>
          <w:rFonts w:hint="eastAsia" w:ascii="仿宋" w:hAnsi="仿宋" w:eastAsia="仿宋" w:cs="仿宋"/>
          <w:sz w:val="32"/>
          <w:szCs w:val="32"/>
        </w:rPr>
        <w:t>14.将帐号和主机硬件信息进行绑定，避免造成帐号盗用、乱用等现象。支持单点登录 。</w:t>
      </w:r>
    </w:p>
    <w:p>
      <w:pPr>
        <w:ind w:firstLine="640" w:firstLineChars="200"/>
        <w:rPr>
          <w:rFonts w:ascii="仿宋" w:hAnsi="仿宋" w:eastAsia="仿宋" w:cs="仿宋"/>
          <w:sz w:val="32"/>
          <w:szCs w:val="32"/>
        </w:rPr>
      </w:pPr>
      <w:r>
        <w:rPr>
          <w:rFonts w:hint="eastAsia" w:ascii="仿宋" w:hAnsi="仿宋" w:eastAsia="仿宋" w:cs="仿宋"/>
          <w:sz w:val="32"/>
          <w:szCs w:val="32"/>
        </w:rPr>
        <w:t>15.系统应预设常用客户端策略，并可由管理员针对用户使用特点，自定义客户端策略，包括客户端检查和缓存清除；系统还应特别支持删除客户端文件夹功能，可由管理员自定义删除客户端设备上的某个文件夹。</w:t>
      </w:r>
    </w:p>
    <w:p>
      <w:pPr>
        <w:ind w:firstLine="640" w:firstLineChars="200"/>
        <w:rPr>
          <w:rFonts w:ascii="仿宋" w:hAnsi="仿宋" w:eastAsia="仿宋" w:cs="仿宋"/>
          <w:sz w:val="32"/>
          <w:szCs w:val="32"/>
        </w:rPr>
      </w:pPr>
      <w:r>
        <w:rPr>
          <w:rFonts w:hint="eastAsia" w:ascii="仿宋" w:hAnsi="仿宋" w:eastAsia="仿宋" w:cs="仿宋"/>
          <w:sz w:val="32"/>
          <w:szCs w:val="32"/>
        </w:rPr>
        <w:t>16.能详细记录用户和管理员的登入、登出以及操作过程，能详细记录用户使用服务的时间、类型、流量等数据。具有本地日志服务器，支持定时通过 FTP 上传到其他服务器。</w:t>
      </w:r>
    </w:p>
    <w:p>
      <w:pPr>
        <w:ind w:firstLine="640" w:firstLineChars="200"/>
        <w:rPr>
          <w:rFonts w:ascii="仿宋" w:hAnsi="仿宋" w:eastAsia="仿宋" w:cs="仿宋"/>
          <w:sz w:val="32"/>
          <w:szCs w:val="32"/>
        </w:rPr>
      </w:pPr>
      <w:r>
        <w:rPr>
          <w:rFonts w:hint="eastAsia" w:ascii="仿宋" w:hAnsi="仿宋" w:eastAsia="仿宋" w:cs="仿宋"/>
          <w:sz w:val="32"/>
          <w:szCs w:val="32"/>
        </w:rPr>
        <w:t>17.能提供完善的统计信息，支持 TOP N 显示，包括被使用流量最多的N个服务、在线时间最长的前N个用户、登录次数最多的前N个用户、使用流量最多的前N个用户等，以便于管理员调整资源。</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服务器数据备份系统</w:t>
      </w:r>
    </w:p>
    <w:p>
      <w:pPr>
        <w:ind w:firstLine="640" w:firstLineChars="200"/>
        <w:rPr>
          <w:rFonts w:ascii="仿宋" w:hAnsi="仿宋" w:eastAsia="仿宋" w:cs="仿宋"/>
          <w:sz w:val="32"/>
          <w:szCs w:val="32"/>
        </w:rPr>
      </w:pPr>
      <w:r>
        <w:rPr>
          <w:rFonts w:hint="eastAsia" w:ascii="仿宋" w:hAnsi="仿宋" w:eastAsia="仿宋" w:cs="仿宋"/>
          <w:sz w:val="32"/>
          <w:szCs w:val="32"/>
        </w:rPr>
        <w:t>该系统需建设在</w:t>
      </w:r>
      <w:r>
        <w:rPr>
          <w:rFonts w:hint="eastAsia" w:ascii="仿宋" w:hAnsi="仿宋" w:eastAsia="仿宋" w:cs="仿宋"/>
          <w:b/>
          <w:bCs/>
          <w:sz w:val="32"/>
          <w:szCs w:val="32"/>
        </w:rPr>
        <w:t>现有的华为服务器上，华为服务器的配置为</w:t>
      </w:r>
      <w:r>
        <w:rPr>
          <w:rFonts w:hint="eastAsia" w:ascii="仿宋" w:hAnsi="仿宋" w:eastAsia="仿宋" w:cs="仿宋"/>
          <w:sz w:val="32"/>
          <w:szCs w:val="32"/>
        </w:rPr>
        <w:t>：华为RH2288V512*3.5”盘典配1*4216 16核 2.1GHz)/2*32GB DDR4 内存 /SR 130 RAID 卡/1*600G SAS 10K 2.5 硬盘 /2*GE /1*550W 电源含导轨。供应商需考虑到服务器内仅有1块 600G 硬盘，供应商响应方案中需考虑且包含华为服务器硬盘扩容费用。</w:t>
      </w:r>
    </w:p>
    <w:p>
      <w:pPr>
        <w:ind w:firstLine="640" w:firstLineChars="200"/>
        <w:rPr>
          <w:rFonts w:ascii="仿宋" w:hAnsi="仿宋" w:eastAsia="仿宋" w:cs="仿宋"/>
          <w:sz w:val="32"/>
          <w:szCs w:val="32"/>
        </w:rPr>
      </w:pPr>
      <w:r>
        <w:rPr>
          <w:rFonts w:hint="eastAsia" w:ascii="仿宋" w:hAnsi="仿宋" w:eastAsia="仿宋" w:cs="仿宋"/>
          <w:sz w:val="32"/>
          <w:szCs w:val="32"/>
        </w:rPr>
        <w:t>18.备份产品为国产品牌、拥有自主知识产权，非OEM产品，支持所有主流的操作系统，支持所有主流的磁带机和磁带库设备。备份系统支持 Windows/Linux 操作系统，满足对 64位系统平台及应用支持，满足IT 系统复杂性和兼容性需求。备份软件的服务器端、客户端必须支持 IBM AIX 、 HP HP UX 、 Sun Solaris 、 Windows NT/2000/2003/2008 、 Linux等。</w:t>
      </w:r>
    </w:p>
    <w:p>
      <w:pPr>
        <w:ind w:firstLine="640" w:firstLineChars="200"/>
        <w:rPr>
          <w:rFonts w:ascii="仿宋" w:hAnsi="仿宋" w:eastAsia="仿宋" w:cs="仿宋"/>
          <w:sz w:val="32"/>
          <w:szCs w:val="32"/>
        </w:rPr>
      </w:pPr>
      <w:r>
        <w:rPr>
          <w:rFonts w:hint="eastAsia" w:ascii="仿宋" w:hAnsi="仿宋" w:eastAsia="仿宋" w:cs="仿宋"/>
          <w:sz w:val="32"/>
          <w:szCs w:val="32"/>
        </w:rPr>
        <w:t>19.支持 Oracle、MS SQL Server、MySQL基于数据库非文件方式的在线、离线备份。</w:t>
      </w:r>
    </w:p>
    <w:p>
      <w:pPr>
        <w:ind w:firstLine="640" w:firstLineChars="200"/>
        <w:rPr>
          <w:rFonts w:ascii="仿宋" w:hAnsi="仿宋" w:eastAsia="仿宋" w:cs="仿宋"/>
          <w:sz w:val="32"/>
          <w:szCs w:val="32"/>
        </w:rPr>
      </w:pPr>
      <w:r>
        <w:rPr>
          <w:rFonts w:hint="eastAsia" w:ascii="仿宋" w:hAnsi="仿宋" w:eastAsia="仿宋" w:cs="仿宋"/>
          <w:sz w:val="32"/>
          <w:szCs w:val="32"/>
        </w:rPr>
        <w:t>20.产品部署过程不对业务系统产生影响，无需专门灾备网络。</w:t>
      </w:r>
    </w:p>
    <w:p>
      <w:pPr>
        <w:ind w:firstLine="640" w:firstLineChars="200"/>
        <w:rPr>
          <w:rFonts w:ascii="仿宋" w:hAnsi="仿宋" w:eastAsia="仿宋" w:cs="仿宋"/>
          <w:sz w:val="32"/>
          <w:szCs w:val="32"/>
        </w:rPr>
      </w:pPr>
      <w:r>
        <w:rPr>
          <w:rFonts w:hint="eastAsia" w:ascii="仿宋" w:hAnsi="仿宋" w:eastAsia="仿宋" w:cs="仿宋"/>
          <w:sz w:val="32"/>
          <w:szCs w:val="32"/>
        </w:rPr>
        <w:t>21.相关软件均需要提供原厂商的正规课程培训，并提供相关的资料文档。</w:t>
      </w:r>
    </w:p>
    <w:p>
      <w:pPr>
        <w:ind w:firstLine="640" w:firstLineChars="200"/>
        <w:rPr>
          <w:rFonts w:ascii="仿宋" w:hAnsi="仿宋" w:eastAsia="仿宋" w:cs="仿宋"/>
          <w:sz w:val="32"/>
          <w:szCs w:val="32"/>
        </w:rPr>
      </w:pPr>
      <w:r>
        <w:rPr>
          <w:rFonts w:hint="eastAsia" w:ascii="仿宋" w:hAnsi="仿宋" w:eastAsia="仿宋" w:cs="仿宋"/>
          <w:sz w:val="32"/>
          <w:szCs w:val="32"/>
        </w:rPr>
        <w:t>22.系统提供一体化图形化中文管理界面，提供完善的中文化的报表系统，可以显示各项任务、各个设备、各种备份介质、备份历史等信息；支持 email、SNMP 等报警机制。 支持支持LAN FREE备份、 SERVER less 备份。支持备份到磁盘并从磁盘直接恢复功能。</w:t>
      </w:r>
    </w:p>
    <w:p>
      <w:pPr>
        <w:ind w:firstLine="640" w:firstLineChars="200"/>
        <w:rPr>
          <w:rFonts w:ascii="仿宋" w:hAnsi="仿宋" w:eastAsia="仿宋" w:cs="仿宋"/>
          <w:sz w:val="32"/>
          <w:szCs w:val="32"/>
        </w:rPr>
      </w:pPr>
      <w:r>
        <w:rPr>
          <w:rFonts w:hint="eastAsia" w:ascii="仿宋" w:hAnsi="仿宋" w:eastAsia="仿宋" w:cs="仿宋"/>
          <w:sz w:val="32"/>
          <w:szCs w:val="32"/>
        </w:rPr>
        <w:t>23.支持备份数据索引的多重保护，保障数据的完全恢复。即使备份服务器数据库损坏，也可以依据多种方式恢复数据索引并重新找回所有数据，保证备份数据的可靠性，支持一对一/一对多/多对一本地或远程配置，支持重复数据删除技术，节省存储空间；</w:t>
      </w:r>
    </w:p>
    <w:p>
      <w:pPr>
        <w:ind w:firstLine="640" w:firstLineChars="200"/>
        <w:rPr>
          <w:rFonts w:ascii="仿宋" w:hAnsi="仿宋" w:eastAsia="仿宋" w:cs="仿宋"/>
          <w:sz w:val="32"/>
          <w:szCs w:val="32"/>
        </w:rPr>
      </w:pPr>
      <w:r>
        <w:rPr>
          <w:rFonts w:hint="eastAsia" w:ascii="仿宋" w:hAnsi="仿宋" w:eastAsia="仿宋" w:cs="仿宋"/>
          <w:sz w:val="32"/>
          <w:szCs w:val="32"/>
        </w:rPr>
        <w:t>24.支持重复数据删除技术，可对文件及数据库进行 block级别重复数据删除，节省存储空间；</w:t>
      </w:r>
    </w:p>
    <w:p>
      <w:pPr>
        <w:ind w:firstLine="640" w:firstLineChars="200"/>
        <w:rPr>
          <w:rFonts w:ascii="仿宋" w:hAnsi="仿宋" w:eastAsia="仿宋" w:cs="仿宋"/>
          <w:sz w:val="32"/>
          <w:szCs w:val="32"/>
        </w:rPr>
      </w:pPr>
      <w:r>
        <w:rPr>
          <w:rFonts w:hint="eastAsia" w:ascii="仿宋" w:hAnsi="仿宋" w:eastAsia="仿宋" w:cs="仿宋"/>
          <w:sz w:val="32"/>
          <w:szCs w:val="32"/>
        </w:rPr>
        <w:t>25.要求备份软件能够采用快照技术或集成磁盘的快照技术，对数据进行快照式备份及快速恢复；提供数据恢复方案并在项目实施过程中进行测试，要求 SQL 等核心数据（约 1T恢复时间小于 4 小时；</w:t>
      </w:r>
    </w:p>
    <w:p>
      <w:pPr>
        <w:ind w:firstLine="640" w:firstLineChars="200"/>
        <w:rPr>
          <w:rFonts w:ascii="仿宋" w:hAnsi="仿宋" w:eastAsia="仿宋" w:cs="仿宋"/>
          <w:sz w:val="32"/>
          <w:szCs w:val="32"/>
        </w:rPr>
      </w:pPr>
      <w:r>
        <w:rPr>
          <w:rFonts w:hint="eastAsia" w:ascii="仿宋" w:hAnsi="仿宋" w:eastAsia="仿宋" w:cs="仿宋"/>
          <w:sz w:val="32"/>
          <w:szCs w:val="32"/>
        </w:rPr>
        <w:t>26.在使用中出现问题时，由原厂商提供服务， 2 小时内响应，并在4小时内到现场解决排除；当涉及到多个厂家的产品时，第一响应方应主动联系相关厂商并负责协调和解决问题 。</w:t>
      </w:r>
    </w:p>
    <w:p>
      <w:pPr>
        <w:ind w:firstLine="640" w:firstLineChars="200"/>
        <w:rPr>
          <w:rFonts w:ascii="仿宋" w:hAnsi="仿宋" w:eastAsia="仿宋" w:cs="仿宋"/>
          <w:sz w:val="32"/>
          <w:szCs w:val="32"/>
        </w:rPr>
      </w:pPr>
      <w:r>
        <w:rPr>
          <w:rFonts w:hint="eastAsia" w:ascii="仿宋" w:hAnsi="仿宋" w:eastAsia="仿宋" w:cs="仿宋"/>
          <w:sz w:val="32"/>
          <w:szCs w:val="32"/>
        </w:rPr>
        <w:t>27.支持数据库联机热备份、逻辑备份，支持频繁的数据库日志文件备份；</w:t>
      </w:r>
    </w:p>
    <w:p>
      <w:pPr>
        <w:ind w:firstLine="640" w:firstLineChars="200"/>
        <w:rPr>
          <w:rFonts w:ascii="仿宋" w:hAnsi="仿宋" w:eastAsia="仿宋" w:cs="仿宋"/>
          <w:sz w:val="32"/>
          <w:szCs w:val="32"/>
        </w:rPr>
      </w:pPr>
      <w:r>
        <w:rPr>
          <w:rFonts w:hint="eastAsia" w:ascii="仿宋" w:hAnsi="仿宋" w:eastAsia="仿宋" w:cs="仿宋"/>
          <w:sz w:val="32"/>
          <w:szCs w:val="32"/>
        </w:rPr>
        <w:t>28.支持文件服务器的持续保护，并且支持文件多历史版本的保护；</w:t>
      </w:r>
    </w:p>
    <w:p>
      <w:pPr>
        <w:ind w:firstLine="640" w:firstLineChars="200"/>
        <w:rPr>
          <w:rFonts w:ascii="仿宋" w:hAnsi="仿宋" w:eastAsia="仿宋" w:cs="仿宋"/>
          <w:sz w:val="32"/>
          <w:szCs w:val="32"/>
        </w:rPr>
      </w:pPr>
      <w:r>
        <w:rPr>
          <w:rFonts w:hint="eastAsia" w:ascii="仿宋" w:hAnsi="仿宋" w:eastAsia="仿宋" w:cs="仿宋"/>
          <w:sz w:val="32"/>
          <w:szCs w:val="32"/>
        </w:rPr>
        <w:t>29.要求备份管理软件对各种磁带库和磁带机进行管理，还要有全面的备份介质管理功能；</w:t>
      </w:r>
    </w:p>
    <w:p>
      <w:pPr>
        <w:ind w:firstLine="640" w:firstLineChars="200"/>
        <w:rPr>
          <w:rFonts w:ascii="仿宋" w:hAnsi="仿宋" w:eastAsia="仿宋" w:cs="仿宋"/>
          <w:sz w:val="32"/>
          <w:szCs w:val="32"/>
        </w:rPr>
      </w:pPr>
      <w:r>
        <w:rPr>
          <w:rFonts w:hint="eastAsia" w:ascii="仿宋" w:hAnsi="仿宋" w:eastAsia="仿宋" w:cs="仿宋"/>
          <w:sz w:val="32"/>
          <w:szCs w:val="32"/>
        </w:rPr>
        <w:t>30.要求数据存储备份系统的建设，保障音视频数据完整性，存储设备故障或灾难发生时，最大限度的保障数据安全，以建立多维度的安全保障体系，从而减少灾难事件造成的经济和政治影响。</w:t>
      </w:r>
    </w:p>
    <w:p>
      <w:pPr>
        <w:ind w:firstLine="640" w:firstLineChars="200"/>
        <w:rPr>
          <w:rFonts w:ascii="仿宋" w:hAnsi="仿宋" w:eastAsia="仿宋" w:cs="仿宋"/>
          <w:sz w:val="32"/>
          <w:szCs w:val="32"/>
        </w:rPr>
      </w:pPr>
      <w:r>
        <w:rPr>
          <w:rFonts w:hint="eastAsia" w:ascii="仿宋" w:hAnsi="仿宋" w:eastAsia="仿宋" w:cs="仿宋"/>
          <w:sz w:val="32"/>
          <w:szCs w:val="32"/>
        </w:rPr>
        <w:t>31.数据存储备份系统必须具有足够的容量以适应不断增长的数据量。存储系统不光要有大量的现实容量，还应该具有很好的可扩展性，能根据数据量的增长提供无缝的、不停机的容量扩充。</w:t>
      </w:r>
    </w:p>
    <w:p>
      <w:pPr>
        <w:ind w:firstLine="640" w:firstLineChars="200"/>
        <w:rPr>
          <w:rFonts w:ascii="仿宋" w:hAnsi="仿宋" w:eastAsia="仿宋" w:cs="仿宋"/>
          <w:sz w:val="32"/>
          <w:szCs w:val="32"/>
        </w:rPr>
      </w:pPr>
      <w:r>
        <w:rPr>
          <w:rFonts w:hint="eastAsia" w:ascii="仿宋" w:hAnsi="仿宋" w:eastAsia="仿宋" w:cs="仿宋"/>
          <w:sz w:val="32"/>
          <w:szCs w:val="32"/>
        </w:rPr>
        <w:t>32.系统应具有快速故障恢复能力，保证应用系统永不停机（7×24 小时不间断工作），数据始终保持完整性和一致性。</w:t>
      </w:r>
    </w:p>
    <w:p>
      <w:pPr>
        <w:pStyle w:val="31"/>
        <w:ind w:firstLine="643"/>
        <w:outlineLvl w:val="1"/>
        <w:rPr>
          <w:rFonts w:ascii="仿宋" w:hAnsi="仿宋" w:eastAsia="仿宋" w:cs="仿宋"/>
          <w:b/>
          <w:bCs/>
          <w:sz w:val="32"/>
          <w:szCs w:val="32"/>
        </w:rPr>
      </w:pPr>
      <w:r>
        <w:rPr>
          <w:rFonts w:hint="eastAsia" w:ascii="仿宋" w:hAnsi="仿宋" w:eastAsia="仿宋" w:cs="仿宋"/>
          <w:b/>
          <w:bCs/>
          <w:sz w:val="32"/>
          <w:szCs w:val="32"/>
        </w:rPr>
        <w:t>（一）产品清单</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420"/>
        <w:gridCol w:w="552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833" w:type="pc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产品名称</w:t>
            </w:r>
          </w:p>
        </w:tc>
        <w:tc>
          <w:tcPr>
            <w:tcW w:w="3243" w:type="pc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产品描述</w:t>
            </w:r>
          </w:p>
        </w:tc>
        <w:tc>
          <w:tcPr>
            <w:tcW w:w="445" w:type="pct"/>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833" w:type="pct"/>
            <w:vAlign w:val="center"/>
          </w:tcPr>
          <w:p>
            <w:pPr>
              <w:rPr>
                <w:rFonts w:ascii="仿宋_GB2312" w:hAnsi="仿宋_GB2312" w:eastAsia="仿宋_GB2312" w:cs="仿宋_GB2312"/>
                <w:sz w:val="24"/>
              </w:rPr>
            </w:pPr>
            <w:r>
              <w:rPr>
                <w:rFonts w:ascii="仿宋_GB2312" w:hAnsi="仿宋_GB2312" w:eastAsia="仿宋_GB2312" w:cs="仿宋_GB2312"/>
                <w:sz w:val="24"/>
              </w:rPr>
              <w:t>VPN</w:t>
            </w:r>
            <w:r>
              <w:rPr>
                <w:rFonts w:hint="eastAsia" w:ascii="仿宋_GB2312" w:hAnsi="仿宋_GB2312" w:eastAsia="仿宋_GB2312" w:cs="仿宋_GB2312"/>
                <w:sz w:val="24"/>
              </w:rPr>
              <w:t>网关</w:t>
            </w:r>
          </w:p>
        </w:tc>
        <w:tc>
          <w:tcPr>
            <w:tcW w:w="3243"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VPN专用系统主机，1U机箱，单电源，≥6个10/100/1000电口，≥4个千兆光口，1个扩展槽（仅用于国密卡插入），标配无国密卡，可选配，标配无硬盘，可选配，单台支持最大并发用户数800，此次配置700个用户授权，含三年硬件质保服务。</w:t>
            </w:r>
          </w:p>
        </w:tc>
        <w:tc>
          <w:tcPr>
            <w:tcW w:w="445"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833"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数据备份系统</w:t>
            </w:r>
          </w:p>
        </w:tc>
        <w:tc>
          <w:tcPr>
            <w:tcW w:w="3243"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拥有自主知识产权，提供计算机软件著作权登记证书，管理平台基于 WEB GUI 全中文管理模式，禁止借用第三方软件整合且非汉化产品。</w:t>
            </w:r>
          </w:p>
        </w:tc>
        <w:tc>
          <w:tcPr>
            <w:tcW w:w="445"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833"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华为服务器扩展硬盘</w:t>
            </w:r>
          </w:p>
        </w:tc>
        <w:tc>
          <w:tcPr>
            <w:tcW w:w="3243" w:type="pct"/>
            <w:vAlign w:val="center"/>
          </w:tcPr>
          <w:p>
            <w:pPr>
              <w:rPr>
                <w:rFonts w:ascii="仿宋_GB2312" w:hAnsi="仿宋_GB2312" w:eastAsia="仿宋_GB2312" w:cs="仿宋_GB2312"/>
                <w:sz w:val="24"/>
              </w:rPr>
            </w:pPr>
            <w:r>
              <w:rPr>
                <w:rFonts w:hint="eastAsia" w:ascii="仿宋_GB2312" w:hAnsi="仿宋_GB2312" w:eastAsia="仿宋_GB2312" w:cs="仿宋_GB2312"/>
                <w:sz w:val="24"/>
              </w:rPr>
              <w:t>华为服务器硬盘600G SAS 10K 2.5 硬盘</w:t>
            </w:r>
          </w:p>
        </w:tc>
        <w:tc>
          <w:tcPr>
            <w:tcW w:w="445" w:type="pct"/>
            <w:vAlign w:val="center"/>
          </w:tcPr>
          <w:p>
            <w:pPr>
              <w:jc w:val="center"/>
              <w:rPr>
                <w:rFonts w:ascii="仿宋_GB2312" w:hAnsi="仿宋_GB2312" w:eastAsia="仿宋_GB2312" w:cs="仿宋_GB2312"/>
                <w:sz w:val="24"/>
              </w:rPr>
            </w:pPr>
            <w:r>
              <w:rPr>
                <w:rFonts w:ascii="仿宋_GB2312" w:hAnsi="仿宋_GB2312" w:eastAsia="仿宋_GB2312" w:cs="仿宋_GB2312"/>
                <w:sz w:val="24"/>
              </w:rPr>
              <w:t>4</w:t>
            </w:r>
          </w:p>
        </w:tc>
      </w:tr>
    </w:tbl>
    <w:p>
      <w:pPr>
        <w:pStyle w:val="31"/>
        <w:ind w:firstLine="643"/>
        <w:outlineLvl w:val="1"/>
        <w:rPr>
          <w:rFonts w:ascii="仿宋" w:hAnsi="仿宋" w:eastAsia="仿宋" w:cs="仿宋"/>
          <w:b/>
          <w:bCs/>
          <w:sz w:val="32"/>
          <w:szCs w:val="32"/>
        </w:rPr>
      </w:pPr>
      <w:r>
        <w:rPr>
          <w:rFonts w:hint="eastAsia" w:ascii="仿宋" w:hAnsi="仿宋" w:eastAsia="仿宋" w:cs="仿宋"/>
          <w:b/>
          <w:bCs/>
          <w:sz w:val="32"/>
          <w:szCs w:val="32"/>
        </w:rPr>
        <w:t>（二）详细配置清单</w:t>
      </w:r>
    </w:p>
    <w:p>
      <w:pPr>
        <w:ind w:firstLine="640" w:firstLineChars="200"/>
        <w:rPr>
          <w:rFonts w:ascii="仿宋" w:hAnsi="仿宋" w:eastAsia="仿宋" w:cs="仿宋"/>
          <w:sz w:val="32"/>
          <w:szCs w:val="32"/>
        </w:rPr>
      </w:pPr>
      <w:r>
        <w:rPr>
          <w:rFonts w:hint="eastAsia" w:ascii="仿宋" w:hAnsi="仿宋" w:eastAsia="仿宋" w:cs="仿宋"/>
          <w:sz w:val="32"/>
          <w:szCs w:val="32"/>
        </w:rPr>
        <w:t>供应商所投产品需完全响应下列产品清单中的参数要求。</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133"/>
        <w:gridCol w:w="113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shd w:val="clear" w:color="000000" w:fill="FFFFFF"/>
            <w:noWrap/>
            <w:vAlign w:val="center"/>
          </w:tcPr>
          <w:p>
            <w:pPr>
              <w:widowControl/>
              <w:jc w:val="center"/>
              <w:rPr>
                <w:rFonts w:ascii="仿宋_GB2312" w:hAnsi="等线" w:eastAsia="仿宋_GB2312" w:cs="宋体"/>
                <w:b/>
                <w:bCs/>
                <w:color w:val="000000"/>
                <w:kern w:val="0"/>
                <w:sz w:val="22"/>
              </w:rPr>
            </w:pPr>
            <w:r>
              <w:rPr>
                <w:rFonts w:hint="eastAsia" w:ascii="仿宋_GB2312" w:hAnsi="等线" w:eastAsia="仿宋_GB2312" w:cs="宋体"/>
                <w:b/>
                <w:bCs/>
                <w:color w:val="000000"/>
                <w:kern w:val="0"/>
                <w:sz w:val="22"/>
              </w:rPr>
              <w:t>序号</w:t>
            </w:r>
          </w:p>
        </w:tc>
        <w:tc>
          <w:tcPr>
            <w:tcW w:w="665" w:type="pct"/>
            <w:shd w:val="clear" w:color="000000" w:fill="FFFFFF"/>
            <w:noWrap/>
            <w:vAlign w:val="center"/>
          </w:tcPr>
          <w:p>
            <w:pPr>
              <w:widowControl/>
              <w:jc w:val="center"/>
              <w:rPr>
                <w:rFonts w:ascii="仿宋_GB2312" w:hAnsi="等线" w:eastAsia="仿宋_GB2312" w:cs="宋体"/>
                <w:b/>
                <w:bCs/>
                <w:color w:val="000000"/>
                <w:kern w:val="0"/>
                <w:sz w:val="22"/>
              </w:rPr>
            </w:pPr>
            <w:r>
              <w:rPr>
                <w:rFonts w:hint="eastAsia" w:ascii="仿宋_GB2312" w:hAnsi="等线" w:eastAsia="仿宋_GB2312" w:cs="宋体"/>
                <w:b/>
                <w:bCs/>
                <w:color w:val="000000"/>
                <w:kern w:val="0"/>
                <w:sz w:val="22"/>
              </w:rPr>
              <w:t>产品名称</w:t>
            </w:r>
          </w:p>
        </w:tc>
        <w:tc>
          <w:tcPr>
            <w:tcW w:w="665" w:type="pct"/>
            <w:shd w:val="clear" w:color="000000" w:fill="FFFFFF"/>
            <w:noWrap/>
            <w:vAlign w:val="center"/>
          </w:tcPr>
          <w:p>
            <w:pPr>
              <w:widowControl/>
              <w:jc w:val="center"/>
              <w:rPr>
                <w:rFonts w:ascii="仿宋_GB2312" w:hAnsi="等线" w:eastAsia="仿宋_GB2312" w:cs="宋体"/>
                <w:b/>
                <w:bCs/>
                <w:color w:val="000000"/>
                <w:kern w:val="0"/>
                <w:sz w:val="22"/>
              </w:rPr>
            </w:pPr>
            <w:r>
              <w:rPr>
                <w:rFonts w:hint="eastAsia" w:ascii="仿宋_GB2312" w:hAnsi="等线" w:eastAsia="仿宋_GB2312" w:cs="宋体"/>
                <w:b/>
                <w:bCs/>
                <w:color w:val="000000"/>
                <w:kern w:val="0"/>
                <w:sz w:val="22"/>
              </w:rPr>
              <w:t>项目</w:t>
            </w:r>
          </w:p>
        </w:tc>
        <w:tc>
          <w:tcPr>
            <w:tcW w:w="3273" w:type="pct"/>
            <w:shd w:val="clear" w:color="000000" w:fill="FFFFFF"/>
            <w:noWrap/>
            <w:vAlign w:val="center"/>
          </w:tcPr>
          <w:p>
            <w:pPr>
              <w:widowControl/>
              <w:jc w:val="center"/>
              <w:rPr>
                <w:rFonts w:ascii="仿宋_GB2312" w:hAnsi="等线" w:eastAsia="仿宋_GB2312" w:cs="宋体"/>
                <w:b/>
                <w:bCs/>
                <w:color w:val="000000"/>
                <w:kern w:val="0"/>
                <w:sz w:val="22"/>
              </w:rPr>
            </w:pPr>
            <w:r>
              <w:rPr>
                <w:rFonts w:hint="eastAsia" w:ascii="仿宋_GB2312" w:hAnsi="等线" w:eastAsia="仿宋_GB2312" w:cs="宋体"/>
                <w:b/>
                <w:bCs/>
                <w:color w:val="000000"/>
                <w:kern w:val="0"/>
                <w:sz w:val="22"/>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97" w:type="pct"/>
            <w:vMerge w:val="restart"/>
            <w:shd w:val="clear" w:color="000000" w:fill="FFFFFF"/>
            <w:noWrap/>
            <w:vAlign w:val="center"/>
          </w:tcPr>
          <w:p>
            <w:pPr>
              <w:widowControl/>
              <w:jc w:val="center"/>
              <w:rPr>
                <w:rFonts w:ascii="仿宋_GB2312" w:hAnsi="等线" w:eastAsia="仿宋_GB2312" w:cs="宋体"/>
                <w:color w:val="000000"/>
                <w:kern w:val="0"/>
                <w:sz w:val="22"/>
              </w:rPr>
            </w:pPr>
            <w:r>
              <w:rPr>
                <w:rFonts w:ascii="仿宋_GB2312" w:hAnsi="等线" w:eastAsia="仿宋_GB2312" w:cs="宋体"/>
                <w:color w:val="000000"/>
                <w:kern w:val="0"/>
                <w:sz w:val="22"/>
              </w:rPr>
              <w:t>1</w:t>
            </w:r>
          </w:p>
        </w:tc>
        <w:tc>
          <w:tcPr>
            <w:tcW w:w="665" w:type="pct"/>
            <w:vMerge w:val="restart"/>
            <w:shd w:val="clear" w:color="000000" w:fill="FFFFFF"/>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VPN 拨号专网</w:t>
            </w: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网络接口</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标配6个10/100/1000MBASE-T端口，≥4个千兆光口，1个扩展槽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性能</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整机吞吐率：≥2.5Gbps；最大并发连接数：≥200万；每秒新建连接数：≥1.5万；IPSec加密吞吐率：≥300M；IPSec VPN隧道数：≥6000条；SSL VPN并发用户数：≥800；SSL VPN每秒新建用户：≥300；SSL VPN加密吞吐：≥200M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部署方式</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支持网关模式、单臂模式部署两种方式；同时支持透明模式和路由模式混合部署；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基本功能</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专业IPSec VPN 和 SSL VPN 二合一设备，采用符合国际标准 SSL 、 TLS 协议，同时支持IPSec VPN 、 SSLVPN 两种 VPN ，非插卡或防火墙带 VPN 模块设备。</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支持对基于HTTP、HTTPS、FileShare、DNS、H.323、SMTP、POP3、Telnet、SSH、RDP等的所有B/S、C/S应用系统，支持基于TCP、UDP、ICMP等IP层以上的协议的应用，例如即时通讯、视频、语音、Ping等服务；</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IPSec VPN支持标准IPSec协议，能够与华为、CISCO、JUNIPER等厂商的VPN设备互联互通。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支持PC终端使用包括Windows10、Windows8、Windows7、Windows Vista、Windows XP、Mac OS、Ubuntu、CentOS、Redhat 等主流操作系统来登录SSLVPN系统，并完整支持该操作系统下的各种IP层以上的B/S和C/S应用；支持IOS、Android等操作系统的智能手机、PDA、平板电脑（PAD）等移动终端的SSL VPN接入，或通过PPTP、L2TP VPN方式接入；</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★客户端支持龙芯、兆芯、飞腾、鲲鹏等国产化平台，支持中标麒麟，银河麒麟，普华、深度（deepin）、优麒麟、UOS统一操作系统、中科方德等国产化操作系统客户端；</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★支持终端使用包括IE6、7、8、10、11或其他IE内核的浏览器，以及最新版本的非IE内核浏览器，如Windows EDGE，Google Chrome，Firefox，Safari，Opera最新版登录SSLVPN系统，登录后可完整支持各种IP层以上的B/S和C/S应用。</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支持国际密码算法包括：AES、DES、3DES、DH、RSA、RC4、MD5、SHA1 SHA2；</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支持访问控制策略，支持基于源目的地址、端口，服务，时间的访问控制策略，支持带宽管理策略，支持IP/MAC地址自动探测与绑定</w:t>
            </w:r>
          </w:p>
          <w:p>
            <w:pPr>
              <w:widowControl/>
              <w:jc w:val="left"/>
              <w:rPr>
                <w:rFonts w:ascii="仿宋" w:hAnsi="仿宋" w:eastAsia="仿宋" w:cs="仿宋"/>
                <w:sz w:val="24"/>
                <w:szCs w:val="24"/>
              </w:rPr>
            </w:pPr>
            <w:r>
              <w:rPr>
                <w:rFonts w:hint="eastAsia" w:ascii="仿宋" w:hAnsi="仿宋" w:eastAsia="仿宋" w:cs="仿宋"/>
                <w:color w:val="000000"/>
                <w:kern w:val="0"/>
                <w:sz w:val="24"/>
                <w:szCs w:val="24"/>
              </w:rPr>
              <w:t>支持全局抗攻击功能（包括抗地址欺骗、抗源路由攻击、抗SMURF攻击、抗LAND攻击、抗WINNUKE攻击、抗QUESO扫描、抗SYN/FIN扫描、抗NULL扫描、抗圣诞树攻击、抗FIN扫描、抗Ping of Death）支持基于包过滤规则的抗SYN FLOOD、抗UDP FLOOD、抗ICMP FLOOD和IP会话数控制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97" w:type="pct"/>
            <w:shd w:val="clear" w:color="000000" w:fill="FFFFFF"/>
            <w:noWrap/>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SSL VPN</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支持自定义门户，可以在单台上为不同用户群配置不同的登录门户，支持自定义门户模板、中英文切换，支持DNS推送。支持登录门户加密协议选择，TLS1.2/1.1/1.0 SSL3.0/2.0；支持加密算法套件选择RSA_DES_CBC_SHA，RSA_RC4_MD5，RSA_RC4_SHA，RSA_WITH_AES_SHA；支持安全密钥更新周期设置；</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单点登录功能（SSO）,支持移动用户登录VPN后再登录内部B/S、C/S应用系统时不需要二次重复认证。支持针对不同的访问资源设定不同的SSO用户名和密码，支持用户自行修改SSO账号。支持CS单点登录工具助手，支持自动识别登录窗口自动形成配置文件。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★支持设置SSL代理模式，可选择用户以VPN 接口IP、客户端源地址、或为用户分配独立虚拟IP 模式，来访问应用便于对用户访问行为进行审计溯源</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支持QuickLink资源映射，支持单向认证、双向认证，支持自定义登录门户加密协议选择，TLS1.2/1.1/1.0 SSL3.0/2.0；</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支持加密算法套件选择RSA_DES_CBC_SHA，RSA_RC4_MD5，RSA_RC4_SHA，RSA_WITH_AES_SHA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397" w:type="pct"/>
            <w:vMerge w:val="restart"/>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restart"/>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pStyle w:val="32"/>
              <w:jc w:val="center"/>
              <w:rPr>
                <w:rFonts w:ascii="仿宋" w:hAnsi="仿宋" w:eastAsia="仿宋" w:cs="仿宋"/>
              </w:rPr>
            </w:pPr>
            <w:r>
              <w:rPr>
                <w:rFonts w:hint="eastAsia" w:ascii="仿宋" w:hAnsi="仿宋" w:eastAsia="仿宋" w:cs="仿宋"/>
              </w:rPr>
              <w:t>用户认证</w:t>
            </w:r>
          </w:p>
          <w:p>
            <w:pPr>
              <w:widowControl/>
              <w:jc w:val="center"/>
              <w:rPr>
                <w:rFonts w:ascii="仿宋" w:hAnsi="仿宋" w:eastAsia="仿宋" w:cs="仿宋"/>
                <w:color w:val="000000"/>
                <w:kern w:val="0"/>
                <w:sz w:val="24"/>
                <w:szCs w:val="24"/>
              </w:rPr>
            </w:pP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支持IPSec、SSL 、PPTP、L2TP VPN的统一用户管理和认证体系，实现用户名口令一次配置，即可适用于全部VPN类型接入，无需分别购买不同类型VPN接入授权</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支持用户组及用户分级管理，支持上下级认证策略、关联角色、认证方式的继承关系配置</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支持基于用户组的并发用户数限制</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支持口令认证、Radius、LDAP、CAS、AD、本地动态令牌，第三方动态令牌、CA证书、短信等认证方式，支持多因素认证方式自由组合，支持调整认证顺序</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支持CAS认证服务联动，通过简单配置即可实现基于身份票据的单点登录</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支持丰富的短信认证类型，支持短信猫、CMPP2.0/3.0、SGIP1.2、SMGP3.0、阿里云短信认证模板，支持基于http、webservice接口的自定义短信网关模板，无需二次开发支持主流的互联网短信网关厂家</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支持自定义口令强度策略，支持软键盘、动态附加码，支持强制首次登录修改口令、定期更改口令，支持口令、动态令牌、短信防爆破，支持短信防恶意发送</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支持用户名分别与终端硬件特征码、主机、MAC地址、IP地址绑定。</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支持通过WEB界面对第三方认证服务器进行连通性测试</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支持LDAP用户信息直接导入本地，不需经过文档格式转换后的二次导入；导入过程可以支持用户组选择，支持与本地用户列表的重复性判断配置</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支持配置Radius、LDAP组映射属性，支持根据Radius的CLASS、NAS-ID、User-Name ,LDAP的DN等或者自定义属性将远程用户信息映射到本地用户组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支持角色映射,支持将LDAP角色属性映射到VPN本地角色，支持一个LDAP用户映射多个角色。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支持内置PKI，内置CA可根据请求文件离线签发证书，同时支持在线申请证书，支持导入第三方CA，支持基于SCEP协议在线获取数字证书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支持HTTP匿名登陆,方便用户无需登录，直接访问内网多个非敏感资源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支持符合SAML框架规范的单点登录功能;支持对象属性认证和资源权限调用，无需传递应用系统用户名口令，即可实现单点登录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pStyle w:val="32"/>
              <w:jc w:val="center"/>
              <w:rPr>
                <w:rFonts w:ascii="仿宋" w:hAnsi="仿宋" w:eastAsia="仿宋" w:cs="仿宋"/>
              </w:rPr>
            </w:pPr>
            <w:r>
              <w:rPr>
                <w:rFonts w:hint="eastAsia" w:ascii="仿宋" w:hAnsi="仿宋" w:eastAsia="仿宋" w:cs="仿宋"/>
              </w:rPr>
              <w:t>可信接入</w:t>
            </w:r>
          </w:p>
          <w:p>
            <w:pPr>
              <w:widowControl/>
              <w:jc w:val="center"/>
              <w:rPr>
                <w:rFonts w:ascii="仿宋" w:hAnsi="仿宋" w:eastAsia="仿宋" w:cs="仿宋"/>
                <w:color w:val="000000"/>
                <w:kern w:val="0"/>
                <w:sz w:val="24"/>
                <w:szCs w:val="24"/>
              </w:rPr>
            </w:pP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支持硬件特征码绑定，支持硬盘序列号、MAC地址绑定，特征码信息无需用户手动设置输入可自动生成，支持自定义用户绑定终端数量。支持硬件特征码批量导入导出。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基于对等网络的主动识别方法及设备第三方权威的检测报告或国家级平台认证证书。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支持自定义终端信息注册模板,可以有管理员自定义终端审核时填写的信息，可以自定义输入框，下拉菜单 单选和多选按钮，设定必填和可编辑等属性。</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支持主从认证账号绑定，必须实现SSL VPN账号与应用系统账号的唯一绑定，VPN资源中的系统只能以指定账号登陆，加强身份认证，防止登录SSL VPN后冒名登录应用系统</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可基于用户和角色设定准入策略，可针对操作系统、操作系统补丁、浏览器、进程、服务、端口、文件、注册表、登录IP、时间、凭证、终端指纹进行登录前和使用时定期检查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支持接入策略，可以设定用户退出时清除缓存、Cookie、浏览器历史记录、保存的表单等。可以设置会话策略，使用VPN时仅能访问内网资源，禁止对互联网的访问，支持防截屏功能。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restart"/>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restart"/>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pStyle w:val="32"/>
              <w:jc w:val="center"/>
              <w:rPr>
                <w:rFonts w:ascii="仿宋" w:hAnsi="仿宋" w:eastAsia="仿宋" w:cs="仿宋"/>
              </w:rPr>
            </w:pPr>
            <w:r>
              <w:rPr>
                <w:rFonts w:hint="eastAsia" w:ascii="仿宋" w:hAnsi="仿宋" w:eastAsia="仿宋" w:cs="仿宋"/>
              </w:rPr>
              <w:t>IPSec VPN</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IPSec VPN支持网关、单臂部署模式，IPSec VPN支持透明、路由、混合等网络接入方式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支持IPSec隧道组和隧道热备份，多条链路IPSec隧道接入时，确保传输稳定可靠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支持IPSec VPN隧道间路由实现隧道接力，减少多级组网时的隧道数量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支持隧道内关联地址组，只需配置一条隧道，即可关联多个保护子网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支持IPSec手动隧道，手动输入密钥参数，无需协商，可以满足IPSec VPN跨越单向光闸传输加密要求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支持KMC与GDOI模式组网，支持密钥管理中心统一管理下发密钥及策略，使用组播技术更新密钥，无需更改原路由策略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支持DMVPN动态组网功能，网络扩展时仅需配置新增节点，无需配置原中心节点和分支节点，即可扩展VPN网络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支持IPSec隧道例外规则添加，支持在大网段中设定例外地址流量不进入加密隧道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pStyle w:val="32"/>
              <w:jc w:val="center"/>
              <w:rPr>
                <w:rFonts w:ascii="仿宋" w:hAnsi="仿宋" w:eastAsia="仿宋" w:cs="仿宋"/>
              </w:rPr>
            </w:pPr>
            <w:r>
              <w:rPr>
                <w:rFonts w:hint="eastAsia" w:ascii="仿宋" w:hAnsi="仿宋" w:eastAsia="仿宋" w:cs="仿宋"/>
              </w:rPr>
              <w:t>IPv4、IPv6</w:t>
            </w:r>
          </w:p>
          <w:p>
            <w:pPr>
              <w:widowControl/>
              <w:jc w:val="center"/>
              <w:rPr>
                <w:rFonts w:ascii="仿宋" w:hAnsi="仿宋" w:eastAsia="仿宋" w:cs="仿宋"/>
                <w:color w:val="000000"/>
                <w:kern w:val="0"/>
                <w:sz w:val="24"/>
                <w:szCs w:val="24"/>
              </w:rPr>
            </w:pP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支持IPv6地址配置，支持IPv6路由表，支持IPv6静态路由、策略路由、支持运营商IPv6地址池</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支持IPv6 to IPv4隧道，支持IPv4、IPv6的两端保护子网在IPv4网络上建立隧道</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SSL VPN IPSec VPN 同时支持本地网络与传输网络网络IPv6 IPv4类型不一致的远程隧道传输</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支持IPv4、IPv6I防火墙访问控制策略、带宽策略；支持IPv4、IPv6 SNAT、端口映射、IP映射</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支持IPv6会话管理、会话统计</w:t>
            </w:r>
          </w:p>
          <w:p>
            <w:pPr>
              <w:widowControl/>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restart"/>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restart"/>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系统管理</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支持多系统引导，可在管理员界面直接配置启动顺序，至少支持三个操作系统，管理员可自由选择当前启动系统，每个系统拥有独立的配置文件，且分别支持加密导入导出</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支持SNMP、TRAP集中管理，支持动态域名</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管理员分权管理，支持三权分立，包括系统管理员，安全管理员，审计管理员；支持自定义权限模板，为管理员分配管理权限；支持分级管理，将用户组、资源、角色按照组织架构进行分级管理，可以为各级别管理员分别创建管理员，并可逐级授权。</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支持分级管理，将用户组、资源、角色按照组织架构进行分级管理，可以为各级别管理员分别创建管理员，并可逐级授权。</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支持配置管理主机IP，仅开放白名单地址访问权限，支持管理员口令复杂度设置，自定义管理员证书，提高管理员身份认证强度</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支持全局配置安全检查，支持一键加固风险配置项</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支持远程SSH和串口命令行配置,支持基于WEB界面的CLI命令行功能</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管理员界面及用户认证界面支持中英双语切换</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支持DHCP Server、DHCP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高可用性</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在NAT、路由、透明模式下支持A-A,A-S模式，支持集群部署模式，且切换时间小于3秒，并支持防火墙相关状态同步技术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支持主备模式下，定时同步在线用户，主备切换时，SSLVPN在线用户不掉线，无需重新认证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负载均衡支持NAT 和 DR 模式，确保分发器故障时可以自动重新选举分发器。支持多个虚拟组，可以为用户提供多个负载均衡集群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状态监控</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支持系统状态监控，支持首页一览，包括CPU、内存使用率，网口状态、IP地址、接口速率，支持实时查看IPSec隧道数量、SSL在线用户数、整机吞吐以及SSL VPN/IPSec VPN/L2TP/PPTP/HA等服务启用情况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查看在线用户、在线设备和已锁定用户，支持自动刷新，可自定义刷新频率。支持多维度信息展示，包括用户名、用户组、源IP、虚拟IP、认证方式、终端类型、在线时间、流量情况等，支持批量强制在线用户、设备下线，支持批量解锁异常用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日志告警</w:t>
            </w: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支持本地存储日志，支持存储位置自定义，存储时长不小于6个月，日志不可随意清除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支持对接第三方日志服务器，仅需简单配置，即可实现日志外发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支持异常信息告警，支持管理员页面、设备蜂鸣、邮件等告警方式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支持查看系统日志、管理日志，支持基于在线时间、访问流量、登录次数等维度生成用户报表，支持基于资源名称、访问次数、访问流量等维度生成服务报表，支持报表导出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支持日志导出、导入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restart"/>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pStyle w:val="32"/>
              <w:jc w:val="center"/>
              <w:rPr>
                <w:rFonts w:ascii="仿宋" w:hAnsi="仿宋" w:eastAsia="仿宋" w:cs="仿宋"/>
              </w:rPr>
            </w:pPr>
            <w:r>
              <w:rPr>
                <w:rFonts w:hint="eastAsia" w:ascii="仿宋" w:hAnsi="仿宋" w:eastAsia="仿宋" w:cs="仿宋"/>
              </w:rPr>
              <w:t>应用虚拟化</w:t>
            </w:r>
          </w:p>
          <w:p>
            <w:pPr>
              <w:widowControl/>
              <w:jc w:val="center"/>
              <w:rPr>
                <w:rFonts w:ascii="仿宋" w:hAnsi="仿宋" w:eastAsia="仿宋" w:cs="仿宋"/>
                <w:color w:val="000000"/>
                <w:kern w:val="0"/>
                <w:sz w:val="24"/>
                <w:szCs w:val="24"/>
              </w:rPr>
            </w:pPr>
          </w:p>
        </w:tc>
        <w:tc>
          <w:tcPr>
            <w:tcW w:w="3273" w:type="pct"/>
            <w:shd w:val="clear" w:color="000000" w:fill="FFFFFF"/>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支持Windows和MAC、Android、iOS操作系统下应用虚拟化功能，应用数据存储在服务器端，退出后本地不保存任何数据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应用虚拟化数据传输过程中使用SSLVPN协议加密，保证了数据传输的合法性和安全性；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应用虚拟化支持3种以上国产化操作系统，支持3种以上国产化CPU架构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应用虚拟化符合用户使用习惯，比如：支持本地输入法、支持文件导入导出、支持打印等。地磁盘资源映射、本地打印机、本地串行口、本地智能卡，本地输入法；支持剪切板，并能够实现剪贴板数据流控制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可以无需二次开发，即把Windows应用发布到移动智能终端中，也可以支持无需开发，将C/S资源Web化。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应用虚拟化必须支持集群多主控和负载均衡策略，即当存在多台终端发布服务器时，可以根据预先配置策略将用户分配到不同的终端服务器。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支持用户配置一键复制，提高部署效率，可以复制各种插件设置、cookie设置、权限设置等。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独立的统计报表统计通过应用虚拟化使用者登录情况、应用使用频次情况、服务器性能占用情况。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支持对数据上传下载的单向控制、双向控制，细粒度控制，支持根据黑白名单规则进行安全过滤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服务器还原点配置和自动修复机制，可以自动下载所需软件，支持守护进程模块，会对系统核心服务与进行保护与值守，在WEB服务与核心进程服务出现问题时，可以3秒内自动修复并重启问题服务，保障整个平台的持续性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支持私人网盘功能，可以在应用服务器创建只能由本人访问的存储区域；支持对数据上传下载的单向控制、双向控制，颗粒化控制；对上传文件能够根据黑白名单规则进行安全过滤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桌管联</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动</w:t>
            </w:r>
          </w:p>
        </w:tc>
        <w:tc>
          <w:tcPr>
            <w:tcW w:w="3273" w:type="pct"/>
            <w:shd w:val="clear" w:color="000000" w:fill="FFFFFF"/>
            <w:vAlign w:val="center"/>
          </w:tcPr>
          <w:p>
            <w:pPr>
              <w:pStyle w:val="32"/>
              <w:ind w:firstLine="420"/>
              <w:rPr>
                <w:rFonts w:ascii="仿宋" w:hAnsi="仿宋" w:eastAsia="仿宋" w:cs="仿宋"/>
              </w:rPr>
            </w:pPr>
            <w:r>
              <w:rPr>
                <w:rFonts w:hint="eastAsia" w:ascii="仿宋" w:hAnsi="仿宋" w:eastAsia="仿宋" w:cs="仿宋"/>
              </w:rPr>
              <w:t>VPN产品在用户登录前，进行桌面管理软件进行检查并给出提示，必须安装终端管理系统才能够登录，支持终端进行黑白红名单，支持注册表检查，支持防病毒软件版本检查，和病毒库更新检查</w:t>
            </w:r>
          </w:p>
          <w:p>
            <w:pPr>
              <w:pStyle w:val="32"/>
              <w:ind w:firstLine="420"/>
              <w:rPr>
                <w:rFonts w:ascii="仿宋" w:hAnsi="仿宋" w:eastAsia="仿宋" w:cs="仿宋"/>
              </w:rPr>
            </w:pPr>
            <w:r>
              <w:rPr>
                <w:rFonts w:hint="eastAsia" w:ascii="仿宋" w:hAnsi="仿宋" w:eastAsia="仿宋" w:cs="仿宋"/>
              </w:rPr>
              <w:t>支持终端屏幕水印和点阵式水印，水印内容支持显示终端特征信息、支持自定义文字或图片，防止对录屏、截屏、拍照等行为获取到的页面或数据进行利用。</w:t>
            </w:r>
          </w:p>
          <w:p>
            <w:pPr>
              <w:pStyle w:val="32"/>
              <w:ind w:firstLine="420"/>
              <w:rPr>
                <w:rFonts w:ascii="仿宋" w:hAnsi="仿宋" w:eastAsia="仿宋" w:cs="仿宋"/>
              </w:rPr>
            </w:pPr>
            <w:r>
              <w:rPr>
                <w:rFonts w:hint="eastAsia" w:ascii="仿宋" w:hAnsi="仿宋" w:eastAsia="仿宋" w:cs="仿宋"/>
              </w:rPr>
              <w:t>可支持终端本地查看包含敏感信息文件信息。采用自有文档解析的技术，识别不需要安装任何Office组件或第三方文档解析组件。支持基于终端的常用泄密途径的监控，支持文件拷贝、粘贴板、打印、刻录、QQ、邮件、web、FTP等行为。能够定义终端自动响应规则。响应规则支持记录、警告、阻止、使用人确认、拷贝加密等。支持全盘或指定位置检查是否存在敏感文件及文件敏感等级等信息，无需周期性扫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产品资</w:t>
            </w:r>
          </w:p>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质</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具备公安部颁发的，《计算机信息系统安全专用产品销售许可证》 VPN 行标三级），要求出具证书复印件和公安部检测报告复印件</w:t>
            </w:r>
          </w:p>
          <w:p>
            <w:pPr>
              <w:pStyle w:val="32"/>
              <w:rPr>
                <w:rFonts w:ascii="仿宋" w:hAnsi="仿宋" w:eastAsia="仿宋" w:cs="仿宋"/>
              </w:rPr>
            </w:pPr>
            <w:r>
              <w:rPr>
                <w:rFonts w:hint="eastAsia" w:ascii="仿宋" w:hAnsi="仿宋" w:eastAsia="仿宋" w:cs="仿宋"/>
              </w:rPr>
              <w:t>具备国家版权局颁发的《计算机软件著作权登记证书》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7" w:type="pct"/>
            <w:vMerge w:val="restart"/>
            <w:shd w:val="clear" w:color="000000" w:fill="FFFFFF"/>
            <w:noWrap/>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2</w:t>
            </w:r>
          </w:p>
        </w:tc>
        <w:tc>
          <w:tcPr>
            <w:tcW w:w="665" w:type="pct"/>
            <w:vMerge w:val="restart"/>
            <w:shd w:val="clear" w:color="000000" w:fill="FFFFFF"/>
            <w:vAlign w:val="center"/>
          </w:tcPr>
          <w:p>
            <w:pPr>
              <w:widowControl/>
              <w:jc w:val="center"/>
              <w:rPr>
                <w:rFonts w:ascii="仿宋_GB2312" w:hAnsi="等线" w:eastAsia="仿宋_GB2312" w:cs="宋体"/>
                <w:color w:val="000000"/>
                <w:kern w:val="0"/>
                <w:sz w:val="22"/>
              </w:rPr>
            </w:pPr>
            <w:r>
              <w:rPr>
                <w:rFonts w:hint="eastAsia" w:ascii="仿宋_GB2312" w:hAnsi="等线" w:eastAsia="仿宋_GB2312" w:cs="宋体"/>
                <w:color w:val="000000"/>
                <w:kern w:val="0"/>
                <w:sz w:val="22"/>
              </w:rPr>
              <w:t>数据备份系统</w:t>
            </w: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产品资质</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产品为国内自主知识产权产品，所投产品的相关及备份恢复软件 具有至少三项相关国家版权局颁发的《计算机软件著作权登记证书》</w:t>
            </w:r>
          </w:p>
          <w:p>
            <w:pPr>
              <w:pStyle w:val="32"/>
              <w:rPr>
                <w:rFonts w:ascii="仿宋" w:hAnsi="仿宋" w:eastAsia="仿宋" w:cs="仿宋"/>
              </w:rPr>
            </w:pPr>
            <w:r>
              <w:rPr>
                <w:rFonts w:hint="eastAsia" w:ascii="仿宋" w:hAnsi="仿宋" w:eastAsia="仿宋" w:cs="仿宋"/>
              </w:rPr>
              <w:t>产品生产商具有ISO9001 质量体系、ISO27001 安全体系证书、 CM MI 3 级及以上） 认证</w:t>
            </w:r>
          </w:p>
          <w:p>
            <w:pPr>
              <w:pStyle w:val="32"/>
              <w:rPr>
                <w:rFonts w:ascii="仿宋" w:hAnsi="仿宋" w:eastAsia="仿宋" w:cs="仿宋"/>
              </w:rPr>
            </w:pPr>
            <w:r>
              <w:rPr>
                <w:rFonts w:hint="eastAsia" w:ascii="仿宋" w:hAnsi="仿宋" w:eastAsia="仿宋" w:cs="仿宋"/>
              </w:rPr>
              <w:t>产品具有由国家保密科技测评中心颁发的《涉密信息系统产品检测证书》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软件授权</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具有不少于 1 0TB 容量永久授权。备份软件采取后端容量许可方式，容量不高于硬件实配有效容量，不限制备份客户端类型、数量、报表等。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架构要求</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基本架构：备份服务器为开放的x86服务器平台，集成备份管理、备份存储于一体，无需额外配置存储介质或备份管理服务器。备份介质为磁盘。支持国产自主可控硬件。</w:t>
            </w:r>
          </w:p>
          <w:p>
            <w:pPr>
              <w:pStyle w:val="32"/>
              <w:rPr>
                <w:rFonts w:ascii="仿宋" w:hAnsi="仿宋" w:eastAsia="仿宋" w:cs="仿宋"/>
              </w:rPr>
            </w:pPr>
            <w:r>
              <w:rPr>
                <w:rFonts w:hint="eastAsia" w:ascii="仿宋" w:hAnsi="仿宋" w:eastAsia="仿宋" w:cs="仿宋"/>
              </w:rPr>
              <w:t>安全性：产品提供多种安全手段保证各种应用数据不被非法盗用和修改伪造，保证数据不因意外情况丢失和损坏。</w:t>
            </w:r>
          </w:p>
          <w:p>
            <w:pPr>
              <w:pStyle w:val="32"/>
              <w:rPr>
                <w:rFonts w:ascii="仿宋" w:hAnsi="仿宋" w:eastAsia="仿宋" w:cs="仿宋"/>
              </w:rPr>
            </w:pPr>
            <w:r>
              <w:rPr>
                <w:rFonts w:hint="eastAsia" w:ascii="仿宋" w:hAnsi="仿宋" w:eastAsia="仿宋" w:cs="仿宋"/>
              </w:rPr>
              <w:t>扩展型：可无缝扩展存储空间，并支持备份服务器到存储空间之间FC或infiniband 链接，软件必须支持图形化形式的在线无缝扩展/扩容备份存储空间。支持InfinibandRDMA备份通信协议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客户端支持</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支持多种OS平台，包括RedHat Linux、Suse Linux、CentOS、Windows 、AIX、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备份方式及通道支持</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支持数据永久增量备份。在备份数据时，第一次初始化同步全量数据，之后为增量备份，且增量备份自动与原全量数据叠加形成新的全量数据，达到快速备份快速恢复的目的，同时减少应用和网络的资源消耗。</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该功能至少必须支持Oracle、VMware、文件系统，且可图形化操作。</w:t>
            </w:r>
          </w:p>
          <w:p>
            <w:pPr>
              <w:pStyle w:val="32"/>
              <w:rPr>
                <w:rFonts w:ascii="仿宋" w:hAnsi="仿宋" w:eastAsia="仿宋" w:cs="仿宋"/>
              </w:rPr>
            </w:pPr>
            <w:r>
              <w:rPr>
                <w:rFonts w:hint="eastAsia" w:ascii="仿宋" w:hAnsi="仿宋" w:eastAsia="仿宋" w:cs="仿宋"/>
              </w:rPr>
              <w:t>具有备份系统企业级客户端模块，支持LAN、LAN-free等备份方式。</w:t>
            </w:r>
          </w:p>
          <w:p>
            <w:pPr>
              <w:pStyle w:val="32"/>
              <w:rPr>
                <w:rFonts w:ascii="仿宋" w:hAnsi="仿宋" w:eastAsia="仿宋" w:cs="仿宋"/>
              </w:rPr>
            </w:pPr>
            <w:r>
              <w:rPr>
                <w:rFonts w:hint="eastAsia" w:ascii="仿宋" w:hAnsi="仿宋" w:eastAsia="仿宋" w:cs="仿宋"/>
              </w:rPr>
              <w:t>支持通过IP网络以iSCSI协议、FC网络以块设备协议、Infiniband网络以RDMA协议进行永久增量备份。不得使用NFS协议。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数据库备份</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★实现对Oracle、MySQL、SQL Server、DB2、HANA、DM等主流数据库和应用程序的永久增量备份，有成熟的软件模块，提供图形化向导界面。</w:t>
            </w:r>
          </w:p>
          <w:p>
            <w:pPr>
              <w:pStyle w:val="32"/>
              <w:rPr>
                <w:rFonts w:ascii="仿宋" w:hAnsi="仿宋" w:eastAsia="仿宋" w:cs="仿宋"/>
              </w:rPr>
            </w:pPr>
            <w:r>
              <w:rPr>
                <w:rFonts w:hint="eastAsia" w:ascii="仿宋" w:hAnsi="仿宋" w:eastAsia="仿宋" w:cs="仿宋"/>
              </w:rPr>
              <w:t>在Oracle环境下，必须通过Oracle RMAN备份接口进行备份，实现Oracle的高效增量备份，通过监控数据块变化备份Oracle数据库增量，并立即合成为全备份数据。支持Oracle ASM，支持Oracle RAC，不得使用任何私有协议或存储卷磁盘块复制的方式进行数据库备份。软件提供图形化界面对Oracle备份通道数和每通道IO性能进行控制，避免影响生产系统性能。</w:t>
            </w:r>
          </w:p>
          <w:p>
            <w:pPr>
              <w:pStyle w:val="32"/>
              <w:rPr>
                <w:rFonts w:ascii="仿宋" w:hAnsi="仿宋" w:eastAsia="仿宋" w:cs="仿宋"/>
              </w:rPr>
            </w:pPr>
            <w:r>
              <w:rPr>
                <w:rFonts w:hint="eastAsia" w:ascii="仿宋" w:hAnsi="仿宋" w:eastAsia="仿宋" w:cs="仿宋"/>
              </w:rPr>
              <w:t>可自动识别和显示Oracle数据库实例名、大小、文件或ASM、单机或RAC、logmode、BCT状态。支持恢复到Oracle数据库任意时间点状态。在基于日志备份的前提下，恢复数据库时，可设定恢复到任一时间点的数据。</w:t>
            </w:r>
          </w:p>
          <w:p>
            <w:pPr>
              <w:pStyle w:val="32"/>
              <w:rPr>
                <w:rFonts w:ascii="仿宋" w:hAnsi="仿宋" w:eastAsia="仿宋" w:cs="仿宋"/>
              </w:rPr>
            </w:pPr>
            <w:r>
              <w:rPr>
                <w:rFonts w:hint="eastAsia" w:ascii="仿宋" w:hAnsi="仿宋" w:eastAsia="仿宋" w:cs="仿宋"/>
              </w:rPr>
              <w:t xml:space="preserve">★支持通过升级模块后可以提供即时恢复功能，能够直接将备份设备的磁盘挂载给恢复机用于验证或应急。Oracle备份数据挂载恢复时，可指定修改挂实例的SID名称、SGA大小，以便于在一台目标机恢复多个实例。可图形化操作。 </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该功能除Oracle数据库外，必须支持Mysql、Sqlserver、HANA、DB2、DM等数据库。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虚拟化平台备份</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支持VMware、Hyper-V、华为FusionCompute等虚拟化平台以无代理方式进行永久增量备份。（不能采用guest host 操作系统备份恢复方式）。</w:t>
            </w:r>
          </w:p>
          <w:p>
            <w:pPr>
              <w:pStyle w:val="32"/>
              <w:rPr>
                <w:rFonts w:ascii="仿宋" w:hAnsi="仿宋" w:eastAsia="仿宋" w:cs="仿宋"/>
              </w:rPr>
            </w:pPr>
            <w:r>
              <w:rPr>
                <w:rFonts w:hint="eastAsia" w:ascii="仿宋" w:hAnsi="仿宋" w:eastAsia="仿宋" w:cs="仿宋"/>
              </w:rPr>
              <w:t>支持通过升级模块后可以提供即时恢复功能，能够直接从备份设备的磁盘池中启动被备份的虚拟机用于验证或应急，而无需真实恢复虚拟机数据到生产存储中。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重复数据删除</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支持重复数据删除功能，节省存储空间。支持文件系统、数据库和虚拟机等多种数据类型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备份数据跨域复制</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 xml:space="preserve">支持多个备份站点（独立的备份域）间能实现备份数据远程优化复制，复制的对象可根据按需选择。在远程备份服务域，跨域复制过来的数据副本同样是原始磁盘格式，可扩展模块以支持直接进行挂载和恢复。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7" w:type="pct"/>
            <w:vMerge w:val="continue"/>
            <w:shd w:val="clear" w:color="000000" w:fill="FFFFFF"/>
            <w:noWrap/>
            <w:vAlign w:val="center"/>
          </w:tcPr>
          <w:p>
            <w:pPr>
              <w:widowControl/>
              <w:jc w:val="center"/>
              <w:rPr>
                <w:rFonts w:ascii="仿宋_GB2312" w:hAnsi="等线" w:eastAsia="仿宋_GB2312" w:cs="宋体"/>
                <w:color w:val="000000"/>
                <w:kern w:val="0"/>
                <w:sz w:val="22"/>
              </w:rPr>
            </w:pPr>
          </w:p>
        </w:tc>
        <w:tc>
          <w:tcPr>
            <w:tcW w:w="665" w:type="pct"/>
            <w:vMerge w:val="continue"/>
            <w:shd w:val="clear" w:color="000000" w:fill="FFFFFF"/>
            <w:vAlign w:val="center"/>
          </w:tcPr>
          <w:p>
            <w:pPr>
              <w:widowControl/>
              <w:jc w:val="center"/>
              <w:rPr>
                <w:rFonts w:ascii="仿宋_GB2312" w:hAnsi="等线" w:eastAsia="仿宋_GB2312" w:cs="宋体"/>
                <w:color w:val="000000"/>
                <w:kern w:val="0"/>
                <w:sz w:val="22"/>
              </w:rPr>
            </w:pPr>
          </w:p>
        </w:tc>
        <w:tc>
          <w:tcPr>
            <w:tcW w:w="665" w:type="pct"/>
            <w:shd w:val="clear" w:color="000000"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归档支持</w:t>
            </w:r>
          </w:p>
        </w:tc>
        <w:tc>
          <w:tcPr>
            <w:tcW w:w="3273" w:type="pct"/>
            <w:shd w:val="clear" w:color="000000" w:fill="FFFFFF"/>
            <w:vAlign w:val="center"/>
          </w:tcPr>
          <w:p>
            <w:pPr>
              <w:pStyle w:val="32"/>
              <w:rPr>
                <w:rFonts w:ascii="仿宋" w:hAnsi="仿宋" w:eastAsia="仿宋" w:cs="仿宋"/>
              </w:rPr>
            </w:pPr>
            <w:r>
              <w:rPr>
                <w:rFonts w:hint="eastAsia" w:ascii="仿宋" w:hAnsi="仿宋" w:eastAsia="仿宋" w:cs="仿宋"/>
              </w:rPr>
              <w:t>1、支持归档功能，可按时间策略归档以及数据过期时进行归档。归档的数据保留时间可单独设置。归档的数据也可直接挂载恢复。</w:t>
            </w:r>
          </w:p>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2、平台必须支持直接备份或归档到基于S3接口的对象存储，归档到S3对象存储的数据可支持直接挂载打开读写使用，用于快速恢复数据之用处。</w:t>
            </w:r>
          </w:p>
        </w:tc>
      </w:tr>
    </w:tbl>
    <w:p>
      <w:pPr>
        <w:pStyle w:val="31"/>
        <w:ind w:firstLine="643"/>
        <w:outlineLvl w:val="1"/>
        <w:rPr>
          <w:rFonts w:ascii="仿宋" w:hAnsi="仿宋" w:eastAsia="仿宋" w:cs="仿宋"/>
          <w:b/>
          <w:bCs/>
          <w:sz w:val="32"/>
          <w:szCs w:val="32"/>
        </w:rPr>
      </w:pPr>
      <w:r>
        <w:rPr>
          <w:rFonts w:hint="eastAsia" w:ascii="仿宋" w:hAnsi="仿宋" w:eastAsia="仿宋" w:cs="仿宋"/>
          <w:b/>
          <w:bCs/>
          <w:sz w:val="32"/>
          <w:szCs w:val="32"/>
        </w:rPr>
        <w:t>（三）售后服务要求</w:t>
      </w:r>
    </w:p>
    <w:p>
      <w:pPr>
        <w:ind w:firstLine="640" w:firstLineChars="200"/>
        <w:rPr>
          <w:rFonts w:ascii="仿宋" w:hAnsi="仿宋" w:eastAsia="仿宋" w:cs="仿宋"/>
          <w:sz w:val="32"/>
          <w:szCs w:val="32"/>
        </w:rPr>
      </w:pPr>
      <w:bookmarkStart w:id="0" w:name="_Hlk112420963"/>
      <w:r>
        <w:rPr>
          <w:rFonts w:hint="eastAsia" w:ascii="仿宋" w:hAnsi="仿宋" w:eastAsia="仿宋" w:cs="仿宋"/>
          <w:sz w:val="32"/>
          <w:szCs w:val="32"/>
        </w:rPr>
        <w:t>1.成交供应商须提供该产品的三年免费质保及硬件维护服务，质保期自采购人验收合格之日起开始计算。质保期内提供免费上门服务，质保期外维修服务只收取成本费用。</w:t>
      </w:r>
    </w:p>
    <w:p>
      <w:pPr>
        <w:ind w:firstLine="640" w:firstLineChars="200"/>
        <w:rPr>
          <w:rFonts w:ascii="仿宋" w:hAnsi="仿宋" w:eastAsia="仿宋" w:cs="仿宋"/>
          <w:sz w:val="32"/>
          <w:szCs w:val="32"/>
        </w:rPr>
      </w:pPr>
      <w:r>
        <w:rPr>
          <w:rFonts w:hint="eastAsia" w:ascii="仿宋" w:hAnsi="仿宋" w:eastAsia="仿宋" w:cs="仿宋"/>
          <w:sz w:val="32"/>
          <w:szCs w:val="32"/>
        </w:rPr>
        <w:t>2.提供三年期的原厂软、硬件质保及售后服务，原厂商能够根据用户需要提供包括7x24 800/400电话支持、上门服务及紧急现场响应等原厂服务。免费更换故障配件。同时设备安装后对原有服务不产生任何影响。</w:t>
      </w:r>
    </w:p>
    <w:p>
      <w:pPr>
        <w:ind w:firstLine="640" w:firstLineChars="200"/>
        <w:rPr>
          <w:rFonts w:ascii="仿宋" w:hAnsi="仿宋" w:eastAsia="仿宋" w:cs="仿宋"/>
          <w:sz w:val="32"/>
          <w:szCs w:val="32"/>
        </w:rPr>
      </w:pPr>
      <w:r>
        <w:rPr>
          <w:rFonts w:hint="eastAsia" w:ascii="仿宋" w:hAnsi="仿宋" w:eastAsia="仿宋" w:cs="仿宋"/>
          <w:sz w:val="32"/>
          <w:szCs w:val="32"/>
        </w:rPr>
        <w:t>3.成交供应商对采购人的维修要求须在 24 小时内响应， 48 小时内解决，如超过 48 小时仍不能解决，由成交供应商在 48 小时内提供性能不低于故障产品的备用产品，否则每推迟一天应向采购人支付人民币 200 元违约金。</w:t>
      </w:r>
    </w:p>
    <w:p>
      <w:pPr>
        <w:ind w:firstLine="640" w:firstLineChars="200"/>
        <w:rPr>
          <w:rFonts w:ascii="仿宋" w:hAnsi="仿宋" w:eastAsia="仿宋" w:cs="仿宋"/>
          <w:sz w:val="32"/>
          <w:szCs w:val="32"/>
        </w:rPr>
      </w:pPr>
      <w:r>
        <w:rPr>
          <w:rFonts w:hint="eastAsia" w:ascii="仿宋" w:hAnsi="仿宋" w:eastAsia="仿宋" w:cs="仿宋"/>
          <w:sz w:val="32"/>
          <w:szCs w:val="32"/>
        </w:rPr>
        <w:t>4.成交供应商承诺的服务中如涉及第三方提供的，由成交供应商负责协调。</w:t>
      </w:r>
    </w:p>
    <w:p>
      <w:pPr>
        <w:pStyle w:val="13"/>
        <w:widowControl/>
        <w:shd w:val="clear" w:color="auto" w:fill="FFFFFF"/>
        <w:spacing w:before="0" w:beforeAutospacing="0" w:after="0" w:afterAutospacing="0" w:line="560" w:lineRule="exact"/>
        <w:ind w:firstLine="645"/>
        <w:rPr>
          <w:rFonts w:ascii="仿宋" w:hAnsi="仿宋" w:eastAsia="仿宋" w:cs="仿宋"/>
          <w:sz w:val="28"/>
          <w:szCs w:val="28"/>
        </w:rPr>
      </w:pPr>
      <w:r>
        <w:rPr>
          <w:rFonts w:hint="eastAsia" w:ascii="仿宋" w:hAnsi="仿宋" w:eastAsia="仿宋" w:cs="仿宋"/>
          <w:sz w:val="32"/>
          <w:szCs w:val="32"/>
        </w:rPr>
        <w:t>5．如在安装调试过程中涉及施工， 成交供应商须文明施工，做到工完场地清。</w:t>
      </w:r>
    </w:p>
    <w:bookmarkEnd w:id="0"/>
    <w:p>
      <w:pPr>
        <w:spacing w:line="56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四、 联系人及联系方式</w:t>
      </w:r>
    </w:p>
    <w:p>
      <w:pPr>
        <w:pStyle w:val="30"/>
        <w:spacing w:line="560" w:lineRule="exact"/>
        <w:ind w:left="0" w:firstLine="640" w:firstLineChars="200"/>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bidi="ar"/>
        </w:rPr>
        <w:t xml:space="preserve">联系人及联系方式：王工  </w:t>
      </w:r>
      <w:r>
        <w:rPr>
          <w:rFonts w:hint="eastAsia" w:ascii="仿宋" w:hAnsi="仿宋" w:eastAsia="仿宋" w:cs="仿宋"/>
          <w:kern w:val="0"/>
          <w:sz w:val="32"/>
          <w:szCs w:val="32"/>
          <w:lang w:val="en-US" w:eastAsia="zh-CN" w:bidi="ar"/>
        </w:rPr>
        <w:t>0551 66692260</w:t>
      </w:r>
    </w:p>
    <w:p>
      <w:pPr>
        <w:pStyle w:val="13"/>
        <w:widowControl/>
        <w:shd w:val="clear" w:color="auto" w:fill="FFFFFF"/>
        <w:spacing w:before="0" w:beforeAutospacing="0" w:after="0" w:afterAutospacing="0" w:line="560" w:lineRule="exact"/>
        <w:ind w:firstLine="645"/>
        <w:rPr>
          <w:rFonts w:ascii="仿宋" w:hAnsi="仿宋" w:eastAsia="仿宋" w:cs="仿宋"/>
          <w:sz w:val="32"/>
          <w:szCs w:val="32"/>
          <w:lang w:bidi="ar"/>
        </w:rPr>
      </w:pPr>
      <w:r>
        <w:rPr>
          <w:rFonts w:hint="eastAsia" w:ascii="仿宋" w:hAnsi="仿宋" w:eastAsia="仿宋" w:cs="仿宋"/>
          <w:sz w:val="32"/>
          <w:szCs w:val="32"/>
          <w:lang w:bidi="ar"/>
        </w:rPr>
        <w:t>地址：中国（安徽）自由贸易试验区合肥市高新区望江西路900号中安创谷科技园D9栋。</w:t>
      </w:r>
    </w:p>
    <w:p>
      <w:pPr>
        <w:spacing w:line="56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五、报价声明</w:t>
      </w:r>
    </w:p>
    <w:p>
      <w:pPr>
        <w:pStyle w:val="13"/>
        <w:widowControl/>
        <w:shd w:val="clear" w:color="auto" w:fill="FFFFFF"/>
        <w:spacing w:before="0" w:beforeAutospacing="0" w:after="0" w:afterAutospacing="0" w:line="560" w:lineRule="exact"/>
        <w:ind w:firstLine="645"/>
        <w:rPr>
          <w:rFonts w:ascii="仿宋" w:hAnsi="仿宋" w:eastAsia="仿宋" w:cs="仿宋"/>
          <w:kern w:val="2"/>
          <w:sz w:val="32"/>
          <w:szCs w:val="32"/>
          <w:lang w:bidi="ar"/>
        </w:rPr>
      </w:pPr>
      <w:r>
        <w:rPr>
          <w:rFonts w:hint="eastAsia" w:ascii="仿宋" w:hAnsi="仿宋" w:eastAsia="仿宋" w:cs="仿宋"/>
          <w:kern w:val="2"/>
          <w:sz w:val="32"/>
          <w:szCs w:val="32"/>
          <w:lang w:bidi="ar"/>
        </w:rPr>
        <w:t>本项目设应答限价，应答限价为17.85万元，应答供应商总报价不能高于应答限价，否则报价无效。项目总报价包含完成本项目产生的一切费用。成交供应商后期不得以任何理由向采购人追加费用，供应商报价时应综合考虑报价风险。</w:t>
      </w:r>
    </w:p>
    <w:p>
      <w:pPr>
        <w:pStyle w:val="13"/>
        <w:widowControl/>
        <w:shd w:val="clear" w:color="auto" w:fill="FFFFFF"/>
        <w:spacing w:before="0" w:beforeAutospacing="0" w:after="0" w:afterAutospacing="0" w:line="560" w:lineRule="exact"/>
        <w:ind w:firstLine="645"/>
        <w:outlineLvl w:val="0"/>
        <w:rPr>
          <w:rFonts w:ascii="黑体" w:hAnsi="黑体" w:eastAsia="黑体" w:cs="黑体"/>
          <w:sz w:val="32"/>
          <w:szCs w:val="32"/>
        </w:rPr>
      </w:pPr>
      <w:r>
        <w:rPr>
          <w:rFonts w:hint="eastAsia" w:ascii="黑体" w:hAnsi="黑体" w:eastAsia="黑体" w:cs="黑体"/>
          <w:kern w:val="2"/>
          <w:sz w:val="32"/>
          <w:szCs w:val="32"/>
        </w:rPr>
        <w:t>六、</w:t>
      </w:r>
      <w:r>
        <w:rPr>
          <w:rFonts w:hint="eastAsia" w:ascii="黑体" w:hAnsi="黑体" w:eastAsia="黑体" w:cs="黑体"/>
          <w:sz w:val="32"/>
          <w:szCs w:val="32"/>
        </w:rPr>
        <w:t>评审办法</w:t>
      </w:r>
    </w:p>
    <w:p>
      <w:pPr>
        <w:widowControl/>
        <w:shd w:val="clear" w:color="auto" w:fill="FFFFFF"/>
        <w:spacing w:line="64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本次询比采购采用综合评分法进行评审，评审按两阶段进行：初步评审和详细评审。首先由评审小组按照询比文件的要求，对各供应商的响应文件进行初步评审，通过初步评审的响应文件进入下一轮详细评审。</w:t>
      </w:r>
    </w:p>
    <w:p>
      <w:pPr>
        <w:widowControl/>
        <w:shd w:val="clear" w:color="auto" w:fill="FFFFFF"/>
        <w:spacing w:line="64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（一）初步评审：</w:t>
      </w:r>
    </w:p>
    <w:p>
      <w:pPr>
        <w:spacing w:line="480" w:lineRule="exact"/>
        <w:jc w:val="center"/>
        <w:rPr>
          <w:rFonts w:ascii="仿宋" w:hAnsi="仿宋" w:eastAsia="仿宋" w:cs="仿宋"/>
          <w:b/>
          <w:kern w:val="0"/>
          <w:sz w:val="28"/>
          <w:szCs w:val="28"/>
        </w:rPr>
      </w:pPr>
      <w:r>
        <w:rPr>
          <w:rFonts w:hint="eastAsia" w:ascii="仿宋" w:hAnsi="仿宋" w:eastAsia="仿宋" w:cs="仿宋"/>
          <w:b/>
          <w:kern w:val="0"/>
          <w:sz w:val="28"/>
          <w:szCs w:val="28"/>
        </w:rPr>
        <w:t>评审标准</w:t>
      </w:r>
    </w:p>
    <w:tbl>
      <w:tblPr>
        <w:tblStyle w:val="15"/>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b/>
                <w:bCs/>
                <w:caps/>
                <w:sz w:val="28"/>
                <w:szCs w:val="28"/>
              </w:rPr>
            </w:pPr>
            <w:r>
              <w:rPr>
                <w:rFonts w:hint="eastAsia" w:ascii="仿宋" w:hAnsi="仿宋" w:eastAsia="仿宋" w:cs="仿宋"/>
                <w:b/>
                <w:bCs/>
                <w:caps/>
                <w:sz w:val="28"/>
                <w:szCs w:val="28"/>
              </w:rPr>
              <w:t>评审因素</w:t>
            </w:r>
          </w:p>
        </w:tc>
        <w:tc>
          <w:tcPr>
            <w:tcW w:w="6724" w:type="dxa"/>
            <w:vAlign w:val="center"/>
          </w:tcPr>
          <w:p>
            <w:pPr>
              <w:adjustRightInd w:val="0"/>
              <w:snapToGrid w:val="0"/>
              <w:spacing w:line="480" w:lineRule="exact"/>
              <w:jc w:val="center"/>
              <w:rPr>
                <w:rFonts w:ascii="仿宋" w:hAnsi="仿宋" w:eastAsia="仿宋" w:cs="仿宋"/>
                <w:b/>
                <w:bCs/>
                <w:caps/>
                <w:sz w:val="28"/>
                <w:szCs w:val="28"/>
              </w:rPr>
            </w:pPr>
            <w:r>
              <w:rPr>
                <w:rFonts w:hint="eastAsia" w:ascii="仿宋" w:hAnsi="仿宋" w:eastAsia="仿宋" w:cs="仿宋"/>
                <w:b/>
                <w:bCs/>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4"/>
                <w:szCs w:val="24"/>
              </w:rPr>
            </w:pPr>
            <w:r>
              <w:rPr>
                <w:rFonts w:hint="eastAsia" w:ascii="仿宋" w:hAnsi="仿宋" w:eastAsia="仿宋" w:cs="仿宋"/>
                <w:caps/>
                <w:sz w:val="24"/>
                <w:szCs w:val="24"/>
              </w:rPr>
              <w:t>供应商名称</w:t>
            </w:r>
          </w:p>
        </w:tc>
        <w:tc>
          <w:tcPr>
            <w:tcW w:w="6724" w:type="dxa"/>
            <w:vAlign w:val="center"/>
          </w:tcPr>
          <w:p>
            <w:pPr>
              <w:adjustRightInd w:val="0"/>
              <w:snapToGrid w:val="0"/>
              <w:ind w:firstLine="9" w:firstLineChars="4"/>
              <w:rPr>
                <w:rFonts w:ascii="仿宋" w:hAnsi="仿宋" w:eastAsia="仿宋" w:cs="仿宋"/>
                <w:caps/>
                <w:sz w:val="24"/>
                <w:szCs w:val="24"/>
              </w:rPr>
            </w:pPr>
            <w:r>
              <w:rPr>
                <w:rFonts w:hint="eastAsia" w:ascii="仿宋" w:hAnsi="仿宋" w:eastAsia="仿宋" w:cs="仿宋"/>
                <w:caps/>
                <w:sz w:val="24"/>
                <w:szCs w:val="24"/>
              </w:rPr>
              <w:t>与</w:t>
            </w:r>
            <w:r>
              <w:rPr>
                <w:rFonts w:hint="eastAsia" w:ascii="仿宋" w:hAnsi="仿宋" w:eastAsia="仿宋" w:cs="仿宋"/>
                <w:kern w:val="0"/>
                <w:sz w:val="24"/>
                <w:szCs w:val="24"/>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4"/>
                <w:szCs w:val="24"/>
              </w:rPr>
            </w:pPr>
            <w:r>
              <w:rPr>
                <w:rFonts w:hint="eastAsia" w:ascii="仿宋" w:hAnsi="仿宋" w:eastAsia="仿宋" w:cs="仿宋"/>
                <w:caps/>
                <w:sz w:val="24"/>
                <w:szCs w:val="24"/>
              </w:rPr>
              <w:t>文件签署</w:t>
            </w:r>
          </w:p>
        </w:tc>
        <w:tc>
          <w:tcPr>
            <w:tcW w:w="6724" w:type="dxa"/>
            <w:vAlign w:val="center"/>
          </w:tcPr>
          <w:p>
            <w:pPr>
              <w:adjustRightInd w:val="0"/>
              <w:snapToGrid w:val="0"/>
              <w:rPr>
                <w:rFonts w:ascii="仿宋" w:hAnsi="仿宋" w:eastAsia="仿宋" w:cs="仿宋"/>
                <w:caps/>
                <w:sz w:val="24"/>
                <w:szCs w:val="24"/>
              </w:rPr>
            </w:pPr>
            <w:r>
              <w:rPr>
                <w:rFonts w:hint="eastAsia" w:ascii="仿宋" w:hAnsi="仿宋" w:eastAsia="仿宋" w:cs="仿宋"/>
                <w:caps/>
                <w:sz w:val="24"/>
                <w:szCs w:val="24"/>
              </w:rPr>
              <w:t>报价表、承诺书需加盖单位章，承诺书需法定代表人或授权人签字或盖章。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119" w:type="dxa"/>
            <w:vAlign w:val="center"/>
          </w:tcPr>
          <w:p>
            <w:pPr>
              <w:adjustRightInd w:val="0"/>
              <w:snapToGrid w:val="0"/>
              <w:spacing w:line="480" w:lineRule="exact"/>
              <w:jc w:val="center"/>
              <w:rPr>
                <w:rFonts w:ascii="仿宋" w:hAnsi="仿宋" w:eastAsia="仿宋" w:cs="仿宋"/>
                <w:caps/>
                <w:sz w:val="24"/>
                <w:szCs w:val="24"/>
              </w:rPr>
            </w:pPr>
            <w:r>
              <w:rPr>
                <w:rFonts w:hint="eastAsia" w:ascii="仿宋" w:hAnsi="仿宋" w:eastAsia="仿宋" w:cs="仿宋"/>
                <w:caps/>
                <w:sz w:val="24"/>
                <w:szCs w:val="24"/>
              </w:rPr>
              <w:t>资格审查</w:t>
            </w:r>
          </w:p>
        </w:tc>
        <w:tc>
          <w:tcPr>
            <w:tcW w:w="6724" w:type="dxa"/>
          </w:tcPr>
          <w:p>
            <w:pPr>
              <w:pStyle w:val="8"/>
              <w:spacing w:line="400" w:lineRule="exact"/>
              <w:rPr>
                <w:rFonts w:ascii="仿宋" w:hAnsi="仿宋" w:eastAsia="仿宋" w:cs="仿宋"/>
                <w:caps/>
                <w:sz w:val="24"/>
                <w:szCs w:val="24"/>
              </w:rPr>
            </w:pPr>
            <w:r>
              <w:rPr>
                <w:rFonts w:hint="eastAsia" w:ascii="仿宋" w:hAnsi="仿宋" w:eastAsia="仿宋" w:cs="仿宋"/>
                <w:caps/>
                <w:sz w:val="24"/>
                <w:szCs w:val="24"/>
              </w:rPr>
              <w:t>（一）供应商具有有效的营业执照。</w:t>
            </w:r>
          </w:p>
          <w:p>
            <w:pPr>
              <w:pStyle w:val="8"/>
              <w:spacing w:line="400" w:lineRule="exact"/>
              <w:rPr>
                <w:rFonts w:ascii="仿宋" w:hAnsi="仿宋" w:eastAsia="仿宋" w:cs="仿宋"/>
                <w:caps/>
                <w:sz w:val="24"/>
                <w:szCs w:val="24"/>
              </w:rPr>
            </w:pPr>
            <w:r>
              <w:rPr>
                <w:rFonts w:hint="eastAsia" w:ascii="仿宋" w:hAnsi="仿宋" w:eastAsia="仿宋" w:cs="仿宋"/>
                <w:caps/>
                <w:sz w:val="24"/>
                <w:szCs w:val="24"/>
              </w:rPr>
              <w:t>（二）供应商存在以下不良信用记录情形之一的，不得参与本次询比：</w:t>
            </w:r>
          </w:p>
          <w:p>
            <w:pPr>
              <w:pStyle w:val="8"/>
              <w:spacing w:line="400" w:lineRule="exact"/>
              <w:rPr>
                <w:rFonts w:ascii="仿宋" w:hAnsi="仿宋" w:eastAsia="仿宋" w:cs="仿宋"/>
                <w:caps/>
                <w:sz w:val="24"/>
                <w:szCs w:val="24"/>
              </w:rPr>
            </w:pPr>
            <w:r>
              <w:rPr>
                <w:rFonts w:hint="eastAsia" w:ascii="仿宋" w:hAnsi="仿宋" w:eastAsia="仿宋" w:cs="仿宋"/>
                <w:caps/>
                <w:sz w:val="24"/>
                <w:szCs w:val="24"/>
              </w:rPr>
              <w:t>1.在“中国执行信息公开网”上列为失信被执行人的；</w:t>
            </w:r>
          </w:p>
          <w:p>
            <w:pPr>
              <w:pStyle w:val="8"/>
              <w:spacing w:line="400" w:lineRule="exact"/>
              <w:rPr>
                <w:rFonts w:ascii="仿宋" w:hAnsi="仿宋" w:eastAsia="仿宋" w:cs="仿宋"/>
                <w:caps/>
                <w:sz w:val="24"/>
                <w:szCs w:val="24"/>
              </w:rPr>
            </w:pPr>
            <w:r>
              <w:rPr>
                <w:rFonts w:hint="eastAsia" w:ascii="仿宋" w:hAnsi="仿宋" w:eastAsia="仿宋" w:cs="仿宋"/>
                <w:caps/>
                <w:sz w:val="24"/>
                <w:szCs w:val="24"/>
              </w:rPr>
              <w:t xml:space="preserve">2.在“国家企业信用信息公示系统”上被列入严重违法失信企业名单的； </w:t>
            </w:r>
          </w:p>
          <w:p>
            <w:pPr>
              <w:pStyle w:val="8"/>
              <w:spacing w:line="400" w:lineRule="exact"/>
              <w:rPr>
                <w:rFonts w:ascii="仿宋" w:hAnsi="仿宋" w:eastAsia="仿宋" w:cs="仿宋"/>
                <w:caps/>
                <w:sz w:val="24"/>
                <w:szCs w:val="24"/>
              </w:rPr>
            </w:pPr>
            <w:r>
              <w:rPr>
                <w:rFonts w:hint="eastAsia" w:ascii="仿宋" w:hAnsi="仿宋" w:eastAsia="仿宋" w:cs="仿宋"/>
                <w:caps/>
                <w:sz w:val="24"/>
                <w:szCs w:val="24"/>
              </w:rPr>
              <w:t>3.在“信用中国”上被列为重大税收违法失信主体的。</w:t>
            </w:r>
          </w:p>
          <w:p>
            <w:pPr>
              <w:pStyle w:val="8"/>
              <w:spacing w:line="400" w:lineRule="exact"/>
              <w:rPr>
                <w:rFonts w:ascii="仿宋" w:hAnsi="仿宋" w:eastAsia="仿宋" w:cs="仿宋"/>
                <w:caps/>
                <w:sz w:val="24"/>
                <w:szCs w:val="24"/>
              </w:rPr>
            </w:pPr>
            <w:r>
              <w:rPr>
                <w:rFonts w:hint="eastAsia" w:ascii="仿宋" w:hAnsi="仿宋" w:eastAsia="仿宋" w:cs="仿宋"/>
                <w:caps/>
                <w:sz w:val="24"/>
                <w:szCs w:val="24"/>
              </w:rPr>
              <w:t>4.在“中国裁判文书网”上查询供应商或其法定代表人或拟派项目经理(项目负责人)具有行贿犯罪记录的。</w:t>
            </w:r>
          </w:p>
          <w:p>
            <w:pPr>
              <w:pStyle w:val="13"/>
              <w:widowControl/>
              <w:shd w:val="clear" w:color="auto" w:fill="FFFFFF"/>
              <w:spacing w:before="0" w:beforeAutospacing="0" w:after="0" w:afterAutospacing="0" w:line="400" w:lineRule="exact"/>
              <w:rPr>
                <w:rFonts w:ascii="仿宋" w:hAnsi="仿宋" w:eastAsia="仿宋" w:cs="仿宋"/>
                <w:caps/>
                <w:kern w:val="2"/>
              </w:rPr>
            </w:pPr>
            <w:r>
              <w:rPr>
                <w:rFonts w:hint="eastAsia" w:ascii="仿宋" w:hAnsi="仿宋" w:eastAsia="仿宋" w:cs="仿宋"/>
                <w:caps/>
                <w:kern w:val="2"/>
              </w:rPr>
              <w:t>（三）本项目不允许联合体应答。</w:t>
            </w:r>
          </w:p>
          <w:p>
            <w:pPr>
              <w:pStyle w:val="14"/>
              <w:spacing w:line="400" w:lineRule="exact"/>
              <w:ind w:left="0" w:leftChars="0" w:firstLine="0" w:firstLineChars="0"/>
              <w:rPr>
                <w:rFonts w:ascii="仿宋" w:hAnsi="仿宋" w:eastAsia="仿宋" w:cs="仿宋"/>
                <w:sz w:val="24"/>
                <w:szCs w:val="24"/>
              </w:rPr>
            </w:pPr>
            <w:r>
              <w:rPr>
                <w:rFonts w:hint="eastAsia" w:ascii="仿宋" w:hAnsi="仿宋" w:eastAsia="仿宋" w:cs="仿宋"/>
                <w:b/>
                <w:bCs/>
                <w:caps/>
                <w:sz w:val="24"/>
                <w:szCs w:val="24"/>
              </w:rPr>
              <w:t>上述第（二）项由应答供应商在响应文件中出具《承诺书》（见格式），同时评审小组应在评审现场查询：</w:t>
            </w:r>
            <w:r>
              <w:rPr>
                <w:rFonts w:hint="eastAsia" w:ascii="仿宋" w:hAnsi="仿宋" w:eastAsia="仿宋" w:cs="仿宋"/>
                <w:caps/>
                <w:sz w:val="24"/>
                <w:szCs w:val="24"/>
              </w:rPr>
              <w:t>（1）“信用中国”、</w:t>
            </w:r>
            <w:r>
              <w:rPr>
                <w:rFonts w:hint="eastAsia" w:ascii="仿宋" w:hAnsi="仿宋" w:eastAsia="仿宋" w:cs="仿宋"/>
                <w:sz w:val="24"/>
                <w:szCs w:val="24"/>
              </w:rPr>
              <w:t>“中国执行信息公开网”、“</w:t>
            </w:r>
            <w:r>
              <w:rPr>
                <w:rFonts w:hint="eastAsia" w:ascii="仿宋" w:hAnsi="仿宋" w:eastAsia="仿宋" w:cs="仿宋"/>
                <w:kern w:val="0"/>
                <w:sz w:val="24"/>
                <w:szCs w:val="24"/>
              </w:rPr>
              <w:t>国家企业信用信息公示系统</w:t>
            </w:r>
            <w:r>
              <w:rPr>
                <w:rFonts w:hint="eastAsia" w:ascii="仿宋" w:hAnsi="仿宋" w:eastAsia="仿宋" w:cs="仿宋"/>
                <w:sz w:val="24"/>
                <w:szCs w:val="24"/>
              </w:rPr>
              <w:t>”</w:t>
            </w:r>
            <w:r>
              <w:rPr>
                <w:rFonts w:hint="eastAsia" w:ascii="仿宋" w:hAnsi="仿宋" w:eastAsia="仿宋" w:cs="仿宋"/>
                <w:caps/>
                <w:sz w:val="24"/>
                <w:szCs w:val="24"/>
              </w:rPr>
              <w:t>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2119" w:type="dxa"/>
            <w:vAlign w:val="center"/>
          </w:tcPr>
          <w:p>
            <w:pPr>
              <w:adjustRightInd w:val="0"/>
              <w:snapToGrid w:val="0"/>
              <w:spacing w:line="480" w:lineRule="exact"/>
              <w:jc w:val="center"/>
              <w:rPr>
                <w:rFonts w:ascii="仿宋" w:hAnsi="仿宋" w:eastAsia="仿宋" w:cs="仿宋"/>
                <w:caps/>
                <w:sz w:val="24"/>
                <w:szCs w:val="24"/>
              </w:rPr>
            </w:pPr>
            <w:r>
              <w:rPr>
                <w:rFonts w:hint="eastAsia" w:ascii="仿宋" w:hAnsi="仿宋" w:eastAsia="仿宋" w:cs="仿宋"/>
                <w:caps/>
                <w:sz w:val="24"/>
                <w:szCs w:val="24"/>
              </w:rPr>
              <w:t>应答内容</w:t>
            </w:r>
          </w:p>
        </w:tc>
        <w:tc>
          <w:tcPr>
            <w:tcW w:w="6724" w:type="dxa"/>
            <w:vAlign w:val="center"/>
          </w:tcPr>
          <w:p>
            <w:pPr>
              <w:jc w:val="left"/>
              <w:rPr>
                <w:rFonts w:ascii="仿宋" w:hAnsi="仿宋" w:eastAsia="仿宋" w:cs="仿宋"/>
                <w:caps/>
                <w:sz w:val="24"/>
                <w:szCs w:val="24"/>
              </w:rPr>
            </w:pPr>
            <w:r>
              <w:rPr>
                <w:rFonts w:hint="eastAsia" w:ascii="仿宋" w:hAnsi="仿宋" w:eastAsia="仿宋" w:cs="仿宋"/>
                <w:caps/>
                <w:sz w:val="24"/>
                <w:szCs w:val="24"/>
              </w:rPr>
              <w:t>符合询比文件约定，满足采购需求中项目相关要求。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rPr>
                <w:rFonts w:ascii="仿宋" w:hAnsi="仿宋" w:eastAsia="仿宋" w:cs="仿宋"/>
                <w:caps/>
                <w:sz w:val="24"/>
                <w:szCs w:val="24"/>
              </w:rPr>
            </w:pPr>
            <w:r>
              <w:rPr>
                <w:rFonts w:hint="eastAsia" w:ascii="仿宋" w:hAnsi="仿宋" w:eastAsia="仿宋" w:cs="仿宋"/>
                <w:caps/>
                <w:sz w:val="24"/>
                <w:szCs w:val="24"/>
              </w:rPr>
              <w:t xml:space="preserve">   应答限价</w:t>
            </w:r>
          </w:p>
        </w:tc>
        <w:tc>
          <w:tcPr>
            <w:tcW w:w="6724" w:type="dxa"/>
            <w:vAlign w:val="center"/>
          </w:tcPr>
          <w:p>
            <w:pPr>
              <w:adjustRightInd w:val="0"/>
              <w:snapToGrid w:val="0"/>
              <w:rPr>
                <w:rFonts w:ascii="仿宋" w:hAnsi="仿宋" w:eastAsia="仿宋" w:cs="仿宋"/>
                <w:caps/>
                <w:sz w:val="24"/>
                <w:szCs w:val="24"/>
              </w:rPr>
            </w:pPr>
            <w:r>
              <w:rPr>
                <w:rFonts w:hint="eastAsia" w:ascii="仿宋" w:hAnsi="仿宋" w:eastAsia="仿宋" w:cs="仿宋"/>
                <w:caps/>
                <w:sz w:val="24"/>
                <w:szCs w:val="24"/>
              </w:rPr>
              <w:t>应答供应商报价不得超过应答限价。</w:t>
            </w:r>
          </w:p>
        </w:tc>
      </w:tr>
    </w:tbl>
    <w:p>
      <w:pPr>
        <w:widowControl/>
        <w:shd w:val="clear" w:color="auto" w:fill="FFFFFF"/>
        <w:spacing w:line="64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（二）详细评审：</w:t>
      </w:r>
    </w:p>
    <w:tbl>
      <w:tblPr>
        <w:tblStyle w:val="15"/>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1338"/>
        <w:gridCol w:w="547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6"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770"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评分内容</w:t>
            </w:r>
          </w:p>
        </w:tc>
        <w:tc>
          <w:tcPr>
            <w:tcW w:w="3150"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评分标准</w:t>
            </w:r>
          </w:p>
        </w:tc>
        <w:tc>
          <w:tcPr>
            <w:tcW w:w="524"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6"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技术商务-供应商综合实力（</w:t>
            </w:r>
            <w:r>
              <w:rPr>
                <w:rFonts w:ascii="仿宋" w:hAnsi="仿宋" w:eastAsia="仿宋" w:cs="宋体"/>
                <w:color w:val="000000"/>
                <w:kern w:val="0"/>
                <w:sz w:val="24"/>
              </w:rPr>
              <w:t>12</w:t>
            </w:r>
            <w:r>
              <w:rPr>
                <w:rFonts w:hint="eastAsia" w:ascii="仿宋" w:hAnsi="仿宋" w:eastAsia="仿宋" w:cs="宋体"/>
                <w:color w:val="000000"/>
                <w:kern w:val="0"/>
                <w:sz w:val="24"/>
              </w:rPr>
              <w:t>分）</w:t>
            </w:r>
          </w:p>
        </w:tc>
        <w:tc>
          <w:tcPr>
            <w:tcW w:w="770"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供应商业绩</w:t>
            </w:r>
          </w:p>
        </w:tc>
        <w:tc>
          <w:tcPr>
            <w:tcW w:w="3150" w:type="pct"/>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xml:space="preserve">供应商自 2019年 1 月 1 日以来（以合同签订时间为准）具有信息安全货物类案例项目业绩的，每提供一个得 </w:t>
            </w:r>
            <w:r>
              <w:rPr>
                <w:rFonts w:ascii="仿宋" w:hAnsi="仿宋" w:eastAsia="仿宋" w:cs="宋体"/>
                <w:color w:val="000000"/>
                <w:kern w:val="0"/>
                <w:sz w:val="24"/>
              </w:rPr>
              <w:t>2</w:t>
            </w:r>
            <w:r>
              <w:rPr>
                <w:rFonts w:hint="eastAsia" w:ascii="仿宋" w:hAnsi="仿宋" w:eastAsia="仿宋" w:cs="宋体"/>
                <w:color w:val="000000"/>
                <w:kern w:val="0"/>
                <w:sz w:val="24"/>
              </w:rPr>
              <w:t>分；本项满分</w:t>
            </w:r>
            <w:r>
              <w:rPr>
                <w:rFonts w:ascii="仿宋" w:hAnsi="仿宋" w:eastAsia="仿宋" w:cs="宋体"/>
                <w:color w:val="000000"/>
                <w:kern w:val="0"/>
                <w:sz w:val="24"/>
              </w:rPr>
              <w:t>6</w:t>
            </w:r>
            <w:r>
              <w:rPr>
                <w:rFonts w:hint="eastAsia" w:ascii="仿宋" w:hAnsi="仿宋" w:eastAsia="仿宋" w:cs="宋体"/>
                <w:color w:val="000000"/>
                <w:kern w:val="0"/>
                <w:sz w:val="24"/>
              </w:rPr>
              <w:t>分。</w:t>
            </w:r>
          </w:p>
        </w:tc>
        <w:tc>
          <w:tcPr>
            <w:tcW w:w="52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6</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6" w:type="pct"/>
            <w:vMerge w:val="continue"/>
            <w:vAlign w:val="center"/>
          </w:tcPr>
          <w:p>
            <w:pPr>
              <w:widowControl/>
              <w:jc w:val="left"/>
              <w:rPr>
                <w:rFonts w:ascii="仿宋" w:hAnsi="仿宋" w:eastAsia="仿宋" w:cs="宋体"/>
                <w:color w:val="000000"/>
                <w:kern w:val="0"/>
                <w:sz w:val="24"/>
              </w:rPr>
            </w:pPr>
          </w:p>
        </w:tc>
        <w:tc>
          <w:tcPr>
            <w:tcW w:w="770"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供应商资质</w:t>
            </w: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供应商具有经中国国家认证认可监督管理委员会认可的认证机构颁发的信息安全管理体系认证证书的，得2 分；本项满分 2 分。</w:t>
            </w:r>
          </w:p>
          <w:p>
            <w:pPr>
              <w:widowControl/>
              <w:rPr>
                <w:rFonts w:ascii="仿宋" w:hAnsi="仿宋" w:eastAsia="仿宋" w:cs="宋体"/>
                <w:color w:val="000000"/>
                <w:kern w:val="0"/>
                <w:sz w:val="24"/>
              </w:rPr>
            </w:pPr>
            <w:r>
              <w:rPr>
                <w:rFonts w:hint="eastAsia" w:ascii="仿宋" w:hAnsi="仿宋" w:eastAsia="仿宋" w:cs="宋体"/>
                <w:color w:val="000000"/>
                <w:kern w:val="0"/>
                <w:sz w:val="24"/>
              </w:rPr>
              <w:t>注：响应文件中提供证书复印件，同时在响应文件中提供在认监委网站查询截图作为评审依据。</w:t>
            </w:r>
          </w:p>
        </w:tc>
        <w:tc>
          <w:tcPr>
            <w:tcW w:w="524"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4</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6" w:type="pct"/>
            <w:vMerge w:val="continue"/>
            <w:vAlign w:val="center"/>
          </w:tcPr>
          <w:p>
            <w:pPr>
              <w:widowControl/>
              <w:jc w:val="left"/>
              <w:rPr>
                <w:rFonts w:ascii="仿宋" w:hAnsi="仿宋" w:eastAsia="仿宋" w:cs="宋体"/>
                <w:color w:val="000000"/>
                <w:kern w:val="0"/>
                <w:sz w:val="24"/>
              </w:rPr>
            </w:pPr>
          </w:p>
        </w:tc>
        <w:tc>
          <w:tcPr>
            <w:tcW w:w="770" w:type="pct"/>
            <w:vMerge w:val="continue"/>
            <w:shd w:val="clear" w:color="auto" w:fill="auto"/>
            <w:vAlign w:val="center"/>
          </w:tcPr>
          <w:p>
            <w:pPr>
              <w:widowControl/>
              <w:jc w:val="center"/>
              <w:rPr>
                <w:rFonts w:ascii="仿宋" w:hAnsi="仿宋" w:eastAsia="仿宋" w:cs="宋体"/>
                <w:color w:val="000000"/>
                <w:kern w:val="0"/>
                <w:sz w:val="24"/>
              </w:rPr>
            </w:pP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供应商具有有效的ITSS 信息技术服务运行维护资质的，得2 分；本项满分 2 分。</w:t>
            </w:r>
          </w:p>
          <w:p>
            <w:pPr>
              <w:widowControl/>
              <w:rPr>
                <w:rFonts w:ascii="仿宋" w:hAnsi="仿宋" w:eastAsia="仿宋" w:cs="宋体"/>
                <w:color w:val="000000"/>
                <w:kern w:val="0"/>
                <w:sz w:val="24"/>
              </w:rPr>
            </w:pPr>
            <w:r>
              <w:rPr>
                <w:rFonts w:hint="eastAsia" w:ascii="仿宋" w:hAnsi="仿宋" w:eastAsia="仿宋" w:cs="宋体"/>
                <w:color w:val="000000"/>
                <w:kern w:val="0"/>
                <w:sz w:val="24"/>
              </w:rPr>
              <w:t>注：响应文件中须提供证书复印件作为评审依据。</w:t>
            </w:r>
          </w:p>
        </w:tc>
        <w:tc>
          <w:tcPr>
            <w:tcW w:w="524" w:type="pct"/>
            <w:vMerge w:val="continue"/>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556" w:type="pct"/>
            <w:vMerge w:val="continue"/>
            <w:vAlign w:val="center"/>
          </w:tcPr>
          <w:p>
            <w:pPr>
              <w:widowControl/>
              <w:jc w:val="left"/>
              <w:rPr>
                <w:rFonts w:ascii="仿宋" w:hAnsi="仿宋" w:eastAsia="仿宋" w:cs="宋体"/>
                <w:color w:val="000000"/>
                <w:kern w:val="0"/>
                <w:sz w:val="24"/>
              </w:rPr>
            </w:pPr>
          </w:p>
        </w:tc>
        <w:tc>
          <w:tcPr>
            <w:tcW w:w="770"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人员资质</w:t>
            </w: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w:t>
            </w:r>
            <w:r>
              <w:rPr>
                <w:rFonts w:hint="eastAsia" w:ascii="仿宋" w:hAnsi="仿宋" w:eastAsia="仿宋" w:cs="宋体"/>
                <w:color w:val="000000"/>
                <w:kern w:val="0"/>
                <w:sz w:val="24"/>
              </w:rPr>
              <w:t>拟派项目技术负责人具有高级工程师职称（建筑电气、计算机、自动化、电子、信息、智能化相关专业）的，得 2 分，没有不得分。</w:t>
            </w:r>
          </w:p>
          <w:p>
            <w:pPr>
              <w:widowControl/>
              <w:rPr>
                <w:rFonts w:ascii="仿宋" w:hAnsi="仿宋" w:eastAsia="仿宋" w:cs="宋体"/>
                <w:color w:val="000000"/>
                <w:kern w:val="0"/>
                <w:sz w:val="24"/>
              </w:rPr>
            </w:pPr>
            <w:r>
              <w:rPr>
                <w:rFonts w:hint="eastAsia" w:ascii="仿宋" w:hAnsi="仿宋" w:eastAsia="仿宋" w:cs="宋体"/>
                <w:color w:val="000000"/>
                <w:kern w:val="0"/>
                <w:sz w:val="24"/>
              </w:rPr>
              <w:t>响应文件中需提供证书复印件及202</w:t>
            </w:r>
            <w:r>
              <w:rPr>
                <w:rFonts w:ascii="仿宋" w:hAnsi="仿宋" w:eastAsia="仿宋" w:cs="宋体"/>
                <w:color w:val="000000"/>
                <w:kern w:val="0"/>
                <w:sz w:val="24"/>
              </w:rPr>
              <w:t>2</w:t>
            </w:r>
            <w:r>
              <w:rPr>
                <w:rFonts w:hint="eastAsia" w:ascii="仿宋" w:hAnsi="仿宋" w:eastAsia="仿宋" w:cs="宋体"/>
                <w:color w:val="000000"/>
                <w:kern w:val="0"/>
                <w:sz w:val="24"/>
              </w:rPr>
              <w:t>年6月1日以来任意一个月的社保缴费证明或其他能够证明拟委任的项目负责人参加社保的有效证明材料。</w:t>
            </w:r>
          </w:p>
        </w:tc>
        <w:tc>
          <w:tcPr>
            <w:tcW w:w="52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2</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56"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技术商务-所投产品实力</w:t>
            </w:r>
          </w:p>
          <w:p>
            <w:pPr>
              <w:jc w:val="center"/>
              <w:rPr>
                <w:rFonts w:ascii="仿宋" w:hAnsi="仿宋" w:eastAsia="仿宋" w:cs="宋体"/>
                <w:color w:val="000000"/>
                <w:kern w:val="0"/>
                <w:sz w:val="24"/>
              </w:rPr>
            </w:pPr>
            <w:r>
              <w:rPr>
                <w:rFonts w:hint="eastAsia" w:ascii="仿宋" w:hAnsi="仿宋" w:eastAsia="仿宋" w:cs="宋体"/>
                <w:color w:val="000000"/>
                <w:kern w:val="0"/>
                <w:sz w:val="24"/>
              </w:rPr>
              <w:t>（</w:t>
            </w:r>
            <w:r>
              <w:rPr>
                <w:rFonts w:ascii="仿宋" w:hAnsi="仿宋" w:eastAsia="仿宋" w:cs="宋体"/>
                <w:color w:val="000000"/>
                <w:kern w:val="0"/>
                <w:sz w:val="24"/>
              </w:rPr>
              <w:t>37</w:t>
            </w:r>
            <w:r>
              <w:rPr>
                <w:rFonts w:hint="eastAsia" w:ascii="仿宋" w:hAnsi="仿宋" w:eastAsia="仿宋" w:cs="宋体"/>
                <w:color w:val="000000"/>
                <w:kern w:val="0"/>
                <w:sz w:val="24"/>
              </w:rPr>
              <w:t>分）</w:t>
            </w:r>
          </w:p>
        </w:tc>
        <w:tc>
          <w:tcPr>
            <w:tcW w:w="770" w:type="pct"/>
            <w:vMerge w:val="restart"/>
            <w:shd w:val="clear" w:color="auto" w:fill="auto"/>
            <w:vAlign w:val="center"/>
          </w:tcPr>
          <w:p>
            <w:pPr>
              <w:jc w:val="center"/>
              <w:rPr>
                <w:rFonts w:ascii="仿宋" w:hAnsi="仿宋" w:eastAsia="仿宋"/>
                <w:sz w:val="24"/>
              </w:rPr>
            </w:pPr>
            <w:r>
              <w:rPr>
                <w:rFonts w:ascii="仿宋" w:hAnsi="仿宋" w:eastAsia="仿宋"/>
                <w:sz w:val="24"/>
              </w:rPr>
              <w:t>VPN</w:t>
            </w:r>
            <w:r>
              <w:rPr>
                <w:rFonts w:hint="eastAsia" w:ascii="仿宋" w:hAnsi="仿宋" w:eastAsia="仿宋"/>
                <w:sz w:val="24"/>
              </w:rPr>
              <w:t>设备</w:t>
            </w:r>
          </w:p>
        </w:tc>
        <w:tc>
          <w:tcPr>
            <w:tcW w:w="3150" w:type="pct"/>
            <w:shd w:val="clear" w:color="auto" w:fill="auto"/>
            <w:vAlign w:val="center"/>
          </w:tcPr>
          <w:p>
            <w:pPr>
              <w:rPr>
                <w:rFonts w:ascii="仿宋" w:hAnsi="仿宋" w:eastAsia="仿宋"/>
                <w:sz w:val="24"/>
              </w:rPr>
            </w:pPr>
            <w:r>
              <w:rPr>
                <w:rFonts w:hint="eastAsia" w:ascii="仿宋" w:hAnsi="仿宋" w:eastAsia="仿宋" w:cs="宋体"/>
                <w:color w:val="000000"/>
                <w:kern w:val="0"/>
                <w:sz w:val="24"/>
              </w:rPr>
              <w:t>1</w:t>
            </w:r>
            <w:r>
              <w:rPr>
                <w:rFonts w:ascii="仿宋" w:hAnsi="仿宋" w:eastAsia="仿宋" w:cs="宋体"/>
                <w:color w:val="000000"/>
                <w:kern w:val="0"/>
                <w:sz w:val="24"/>
              </w:rPr>
              <w:t>.</w:t>
            </w:r>
            <w:r>
              <w:rPr>
                <w:rFonts w:hint="eastAsia" w:ascii="仿宋" w:hAnsi="仿宋" w:eastAsia="仿宋" w:cs="宋体"/>
                <w:color w:val="000000"/>
                <w:kern w:val="0"/>
                <w:sz w:val="24"/>
              </w:rPr>
              <w:t>提供《计算机信息系统安全专用产品销售许可证》（VPN行标三级）（复印件加盖原厂公章），得4分，不提供不得分，满分4分。</w:t>
            </w:r>
          </w:p>
        </w:tc>
        <w:tc>
          <w:tcPr>
            <w:tcW w:w="524"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12</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56" w:type="pct"/>
            <w:vMerge w:val="continue"/>
            <w:shd w:val="clear" w:color="auto" w:fill="auto"/>
            <w:vAlign w:val="center"/>
          </w:tcPr>
          <w:p>
            <w:pPr>
              <w:widowControl/>
              <w:jc w:val="center"/>
              <w:rPr>
                <w:rFonts w:ascii="仿宋" w:hAnsi="仿宋" w:eastAsia="仿宋" w:cs="宋体"/>
                <w:color w:val="000000"/>
                <w:kern w:val="0"/>
                <w:sz w:val="24"/>
              </w:rPr>
            </w:pPr>
          </w:p>
        </w:tc>
        <w:tc>
          <w:tcPr>
            <w:tcW w:w="770" w:type="pct"/>
            <w:vMerge w:val="continue"/>
            <w:shd w:val="clear" w:color="auto" w:fill="auto"/>
            <w:vAlign w:val="center"/>
          </w:tcPr>
          <w:p>
            <w:pPr>
              <w:jc w:val="center"/>
              <w:rPr>
                <w:rFonts w:ascii="仿宋" w:hAnsi="仿宋" w:eastAsia="仿宋"/>
                <w:sz w:val="24"/>
              </w:rPr>
            </w:pPr>
          </w:p>
        </w:tc>
        <w:tc>
          <w:tcPr>
            <w:tcW w:w="3150" w:type="pc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w:t>
            </w:r>
            <w:r>
              <w:rPr>
                <w:rFonts w:hint="eastAsia"/>
              </w:rPr>
              <w:t xml:space="preserve"> </w:t>
            </w:r>
            <w:r>
              <w:rPr>
                <w:rFonts w:hint="eastAsia" w:ascii="仿宋" w:hAnsi="仿宋" w:eastAsia="仿宋" w:cs="宋体"/>
                <w:color w:val="000000"/>
                <w:kern w:val="0"/>
                <w:sz w:val="24"/>
              </w:rPr>
              <w:t>提供国家版权局颁发的《计算机软件著作权登记证书》（复印件加盖原厂公章）得4分，不提供不得分，满分4分。</w:t>
            </w:r>
          </w:p>
        </w:tc>
        <w:tc>
          <w:tcPr>
            <w:tcW w:w="524" w:type="pct"/>
            <w:vMerge w:val="continue"/>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56" w:type="pct"/>
            <w:vMerge w:val="continue"/>
            <w:shd w:val="clear" w:color="auto" w:fill="auto"/>
            <w:vAlign w:val="center"/>
          </w:tcPr>
          <w:p>
            <w:pPr>
              <w:widowControl/>
              <w:jc w:val="center"/>
              <w:rPr>
                <w:rFonts w:ascii="仿宋" w:hAnsi="仿宋" w:eastAsia="仿宋" w:cs="宋体"/>
                <w:color w:val="000000"/>
                <w:kern w:val="0"/>
                <w:sz w:val="24"/>
              </w:rPr>
            </w:pPr>
          </w:p>
        </w:tc>
        <w:tc>
          <w:tcPr>
            <w:tcW w:w="770" w:type="pct"/>
            <w:vMerge w:val="continue"/>
            <w:shd w:val="clear" w:color="auto" w:fill="auto"/>
            <w:vAlign w:val="center"/>
          </w:tcPr>
          <w:p>
            <w:pPr>
              <w:jc w:val="center"/>
              <w:rPr>
                <w:rFonts w:ascii="仿宋" w:hAnsi="仿宋" w:eastAsia="仿宋"/>
                <w:sz w:val="24"/>
              </w:rPr>
            </w:pPr>
          </w:p>
        </w:tc>
        <w:tc>
          <w:tcPr>
            <w:tcW w:w="3150" w:type="pc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3</w:t>
            </w:r>
            <w:r>
              <w:rPr>
                <w:rFonts w:ascii="仿宋" w:hAnsi="仿宋" w:eastAsia="仿宋" w:cs="宋体"/>
                <w:color w:val="000000"/>
                <w:kern w:val="0"/>
                <w:sz w:val="24"/>
              </w:rPr>
              <w:t>.</w:t>
            </w:r>
            <w:r>
              <w:rPr>
                <w:rFonts w:hint="eastAsia"/>
              </w:rPr>
              <w:t xml:space="preserve"> </w:t>
            </w:r>
            <w:r>
              <w:rPr>
                <w:rFonts w:hint="eastAsia" w:ascii="仿宋" w:hAnsi="仿宋" w:eastAsia="仿宋" w:cs="宋体"/>
                <w:color w:val="000000"/>
                <w:kern w:val="0"/>
                <w:sz w:val="24"/>
              </w:rPr>
              <w:t>提供原厂提供的三年硬件质保承诺函，得3分，不提供不得分，满分</w:t>
            </w:r>
            <w:r>
              <w:rPr>
                <w:rFonts w:ascii="仿宋" w:hAnsi="仿宋" w:eastAsia="仿宋" w:cs="宋体"/>
                <w:color w:val="000000"/>
                <w:kern w:val="0"/>
                <w:sz w:val="24"/>
              </w:rPr>
              <w:t>4</w:t>
            </w:r>
            <w:r>
              <w:rPr>
                <w:rFonts w:hint="eastAsia" w:ascii="仿宋" w:hAnsi="仿宋" w:eastAsia="仿宋" w:cs="宋体"/>
                <w:color w:val="000000"/>
                <w:kern w:val="0"/>
                <w:sz w:val="24"/>
              </w:rPr>
              <w:t>分。</w:t>
            </w:r>
          </w:p>
        </w:tc>
        <w:tc>
          <w:tcPr>
            <w:tcW w:w="524" w:type="pct"/>
            <w:vMerge w:val="continue"/>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56" w:type="pct"/>
            <w:vMerge w:val="continue"/>
            <w:shd w:val="clear" w:color="auto" w:fill="auto"/>
            <w:vAlign w:val="center"/>
          </w:tcPr>
          <w:p>
            <w:pPr>
              <w:widowControl/>
              <w:jc w:val="center"/>
              <w:rPr>
                <w:rFonts w:ascii="仿宋" w:hAnsi="仿宋" w:eastAsia="仿宋" w:cs="宋体"/>
                <w:color w:val="000000"/>
                <w:kern w:val="0"/>
                <w:sz w:val="24"/>
              </w:rPr>
            </w:pPr>
          </w:p>
        </w:tc>
        <w:tc>
          <w:tcPr>
            <w:tcW w:w="770" w:type="pct"/>
            <w:vMerge w:val="restart"/>
            <w:shd w:val="clear" w:color="auto" w:fill="auto"/>
            <w:vAlign w:val="center"/>
          </w:tcPr>
          <w:p>
            <w:pPr>
              <w:jc w:val="center"/>
              <w:rPr>
                <w:rFonts w:ascii="仿宋" w:hAnsi="仿宋" w:eastAsia="仿宋"/>
                <w:sz w:val="24"/>
              </w:rPr>
            </w:pPr>
            <w:r>
              <w:rPr>
                <w:rFonts w:hint="eastAsia" w:ascii="仿宋" w:hAnsi="仿宋" w:eastAsia="仿宋"/>
                <w:sz w:val="24"/>
              </w:rPr>
              <w:t>备件软件</w:t>
            </w:r>
          </w:p>
        </w:tc>
        <w:tc>
          <w:tcPr>
            <w:tcW w:w="3150" w:type="pc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w:t>
            </w:r>
            <w:r>
              <w:rPr>
                <w:rFonts w:hint="eastAsia"/>
              </w:rPr>
              <w:t xml:space="preserve"> </w:t>
            </w:r>
            <w:r>
              <w:rPr>
                <w:rFonts w:hint="eastAsia" w:ascii="仿宋" w:hAnsi="仿宋" w:eastAsia="仿宋" w:cs="宋体"/>
                <w:color w:val="000000"/>
                <w:kern w:val="0"/>
                <w:sz w:val="24"/>
              </w:rPr>
              <w:t>提供国家版权局颁发的《计算机软件著作权登记证书》（复印件加盖原厂公章）得4分，不提供不得分，满分4分。</w:t>
            </w:r>
          </w:p>
        </w:tc>
        <w:tc>
          <w:tcPr>
            <w:tcW w:w="524"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12</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56" w:type="pct"/>
            <w:vMerge w:val="continue"/>
            <w:shd w:val="clear" w:color="auto" w:fill="auto"/>
            <w:vAlign w:val="center"/>
          </w:tcPr>
          <w:p>
            <w:pPr>
              <w:widowControl/>
              <w:jc w:val="center"/>
              <w:rPr>
                <w:rFonts w:ascii="仿宋" w:hAnsi="仿宋" w:eastAsia="仿宋" w:cs="宋体"/>
                <w:color w:val="000000"/>
                <w:kern w:val="0"/>
                <w:sz w:val="24"/>
              </w:rPr>
            </w:pPr>
          </w:p>
        </w:tc>
        <w:tc>
          <w:tcPr>
            <w:tcW w:w="770" w:type="pct"/>
            <w:vMerge w:val="continue"/>
            <w:shd w:val="clear" w:color="auto" w:fill="auto"/>
            <w:vAlign w:val="center"/>
          </w:tcPr>
          <w:p>
            <w:pPr>
              <w:jc w:val="center"/>
              <w:rPr>
                <w:rFonts w:ascii="仿宋" w:hAnsi="仿宋" w:eastAsia="仿宋"/>
                <w:sz w:val="24"/>
              </w:rPr>
            </w:pPr>
          </w:p>
        </w:tc>
        <w:tc>
          <w:tcPr>
            <w:tcW w:w="3150" w:type="pc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2</w:t>
            </w:r>
            <w:r>
              <w:rPr>
                <w:rFonts w:ascii="仿宋" w:hAnsi="仿宋" w:eastAsia="仿宋" w:cs="宋体"/>
                <w:color w:val="000000"/>
                <w:kern w:val="0"/>
                <w:sz w:val="24"/>
              </w:rPr>
              <w:t>.</w:t>
            </w:r>
            <w:r>
              <w:rPr>
                <w:rFonts w:hint="eastAsia"/>
              </w:rPr>
              <w:t xml:space="preserve"> </w:t>
            </w:r>
            <w:r>
              <w:rPr>
                <w:rFonts w:hint="eastAsia" w:ascii="仿宋" w:hAnsi="仿宋" w:eastAsia="仿宋" w:cs="宋体"/>
                <w:color w:val="000000"/>
                <w:kern w:val="0"/>
                <w:sz w:val="24"/>
              </w:rPr>
              <w:t>提供国家保密科技测评中心颁发的《涉密信息系统产品检测证书》得4分，不提供不得分，满分4分。</w:t>
            </w:r>
          </w:p>
        </w:tc>
        <w:tc>
          <w:tcPr>
            <w:tcW w:w="524" w:type="pct"/>
            <w:vMerge w:val="continue"/>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56" w:type="pct"/>
            <w:vMerge w:val="continue"/>
            <w:shd w:val="clear" w:color="auto" w:fill="auto"/>
            <w:vAlign w:val="center"/>
          </w:tcPr>
          <w:p>
            <w:pPr>
              <w:widowControl/>
              <w:jc w:val="center"/>
              <w:rPr>
                <w:rFonts w:ascii="仿宋" w:hAnsi="仿宋" w:eastAsia="仿宋" w:cs="宋体"/>
                <w:color w:val="000000"/>
                <w:kern w:val="0"/>
                <w:sz w:val="24"/>
              </w:rPr>
            </w:pPr>
          </w:p>
        </w:tc>
        <w:tc>
          <w:tcPr>
            <w:tcW w:w="770" w:type="pct"/>
            <w:vMerge w:val="continue"/>
            <w:shd w:val="clear" w:color="auto" w:fill="auto"/>
            <w:vAlign w:val="center"/>
          </w:tcPr>
          <w:p>
            <w:pPr>
              <w:jc w:val="center"/>
              <w:rPr>
                <w:rFonts w:ascii="仿宋" w:hAnsi="仿宋" w:eastAsia="仿宋"/>
                <w:sz w:val="24"/>
              </w:rPr>
            </w:pPr>
          </w:p>
        </w:tc>
        <w:tc>
          <w:tcPr>
            <w:tcW w:w="3150" w:type="pc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3</w:t>
            </w:r>
            <w:r>
              <w:rPr>
                <w:rFonts w:ascii="仿宋" w:hAnsi="仿宋" w:eastAsia="仿宋" w:cs="宋体"/>
                <w:color w:val="000000"/>
                <w:kern w:val="0"/>
                <w:sz w:val="24"/>
              </w:rPr>
              <w:t>.</w:t>
            </w:r>
            <w:r>
              <w:rPr>
                <w:rFonts w:hint="eastAsia"/>
              </w:rPr>
              <w:t xml:space="preserve"> </w:t>
            </w:r>
            <w:r>
              <w:rPr>
                <w:rFonts w:hint="eastAsia" w:ascii="仿宋" w:hAnsi="仿宋" w:eastAsia="仿宋" w:cs="宋体"/>
                <w:color w:val="000000"/>
                <w:kern w:val="0"/>
                <w:sz w:val="24"/>
              </w:rPr>
              <w:t>提供原厂提供的三年软件质保承诺函，得3分，不提供不得分，满分</w:t>
            </w:r>
            <w:r>
              <w:rPr>
                <w:rFonts w:ascii="仿宋" w:hAnsi="仿宋" w:eastAsia="仿宋" w:cs="宋体"/>
                <w:color w:val="000000"/>
                <w:kern w:val="0"/>
                <w:sz w:val="24"/>
              </w:rPr>
              <w:t>4</w:t>
            </w:r>
            <w:r>
              <w:rPr>
                <w:rFonts w:hint="eastAsia" w:ascii="仿宋" w:hAnsi="仿宋" w:eastAsia="仿宋" w:cs="宋体"/>
                <w:color w:val="000000"/>
                <w:kern w:val="0"/>
                <w:sz w:val="24"/>
              </w:rPr>
              <w:t>分。</w:t>
            </w:r>
          </w:p>
        </w:tc>
        <w:tc>
          <w:tcPr>
            <w:tcW w:w="524" w:type="pct"/>
            <w:vMerge w:val="continue"/>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pct"/>
            <w:vMerge w:val="continue"/>
            <w:shd w:val="clear" w:color="auto" w:fill="auto"/>
            <w:vAlign w:val="center"/>
          </w:tcPr>
          <w:p>
            <w:pPr>
              <w:widowControl/>
              <w:jc w:val="center"/>
              <w:rPr>
                <w:rFonts w:ascii="仿宋" w:hAnsi="仿宋" w:eastAsia="仿宋" w:cs="宋体"/>
                <w:color w:val="000000"/>
                <w:kern w:val="0"/>
                <w:sz w:val="24"/>
              </w:rPr>
            </w:pPr>
          </w:p>
        </w:tc>
        <w:tc>
          <w:tcPr>
            <w:tcW w:w="770"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产品参数</w:t>
            </w: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产品技术参数完全响应招标文件的得1</w:t>
            </w:r>
            <w:r>
              <w:rPr>
                <w:rFonts w:ascii="仿宋" w:hAnsi="仿宋" w:eastAsia="仿宋" w:cs="宋体"/>
                <w:color w:val="000000"/>
                <w:kern w:val="0"/>
                <w:sz w:val="24"/>
              </w:rPr>
              <w:t>3</w:t>
            </w:r>
            <w:r>
              <w:rPr>
                <w:rFonts w:hint="eastAsia" w:ascii="仿宋" w:hAnsi="仿宋" w:eastAsia="仿宋" w:cs="宋体"/>
                <w:color w:val="000000"/>
                <w:kern w:val="0"/>
                <w:sz w:val="24"/>
              </w:rPr>
              <w:t>分，标星项每有1项负偏离扣2分，非标星项每有1项负偏离的扣1分，扣完为止。</w:t>
            </w:r>
          </w:p>
        </w:tc>
        <w:tc>
          <w:tcPr>
            <w:tcW w:w="52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13</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pct"/>
            <w:vMerge w:val="restart"/>
            <w:shd w:val="clear" w:color="auto" w:fill="auto"/>
            <w:vAlign w:val="center"/>
          </w:tcPr>
          <w:p>
            <w:pPr>
              <w:widowControl/>
              <w:jc w:val="center"/>
              <w:rPr>
                <w:rFonts w:ascii="仿宋" w:hAnsi="仿宋" w:eastAsia="仿宋" w:cs="宋体"/>
                <w:color w:val="000000"/>
                <w:kern w:val="0"/>
                <w:sz w:val="24"/>
              </w:rPr>
            </w:pPr>
          </w:p>
          <w:p>
            <w:pPr>
              <w:widowControl/>
              <w:jc w:val="center"/>
              <w:rPr>
                <w:rFonts w:ascii="仿宋" w:hAnsi="仿宋" w:eastAsia="仿宋" w:cs="宋体"/>
                <w:color w:val="000000"/>
                <w:kern w:val="0"/>
                <w:sz w:val="24"/>
              </w:rPr>
            </w:pPr>
          </w:p>
          <w:p>
            <w:pPr>
              <w:widowControl/>
              <w:jc w:val="center"/>
              <w:rPr>
                <w:rFonts w:ascii="仿宋" w:hAnsi="仿宋" w:eastAsia="仿宋" w:cs="宋体"/>
                <w:color w:val="000000"/>
                <w:kern w:val="0"/>
                <w:sz w:val="24"/>
              </w:rPr>
            </w:pPr>
          </w:p>
          <w:p>
            <w:pPr>
              <w:widowControl/>
              <w:jc w:val="center"/>
              <w:rPr>
                <w:rFonts w:ascii="仿宋" w:hAnsi="仿宋" w:eastAsia="仿宋" w:cs="宋体"/>
                <w:color w:val="000000"/>
                <w:kern w:val="0"/>
                <w:sz w:val="24"/>
              </w:rPr>
            </w:pP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技术商务-项目方案（</w:t>
            </w:r>
            <w:r>
              <w:rPr>
                <w:rFonts w:ascii="仿宋" w:hAnsi="仿宋" w:eastAsia="仿宋" w:cs="宋体"/>
                <w:color w:val="000000"/>
                <w:kern w:val="0"/>
                <w:sz w:val="24"/>
              </w:rPr>
              <w:t>21分</w:t>
            </w:r>
            <w:r>
              <w:rPr>
                <w:rFonts w:hint="eastAsia" w:ascii="仿宋" w:hAnsi="仿宋" w:eastAsia="仿宋" w:cs="宋体"/>
                <w:color w:val="000000"/>
                <w:kern w:val="0"/>
                <w:sz w:val="24"/>
              </w:rPr>
              <w:t>）</w:t>
            </w:r>
          </w:p>
        </w:tc>
        <w:tc>
          <w:tcPr>
            <w:tcW w:w="770"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施工组织设计及技术方案</w:t>
            </w: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提供详细的施工组织设计及技术方案，评审小组根据方案的完整性、科学性和合理性进行综合评分；优秀的得9-12分,良好的得6-8分,一般的得2-5分,不提供不得分，满分12分。</w:t>
            </w:r>
          </w:p>
        </w:tc>
        <w:tc>
          <w:tcPr>
            <w:tcW w:w="52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12</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pct"/>
            <w:vMerge w:val="continue"/>
            <w:shd w:val="clear" w:color="auto" w:fill="auto"/>
            <w:vAlign w:val="center"/>
          </w:tcPr>
          <w:p>
            <w:pPr>
              <w:widowControl/>
              <w:jc w:val="center"/>
              <w:rPr>
                <w:rFonts w:ascii="仿宋" w:hAnsi="仿宋" w:eastAsia="仿宋" w:cs="宋体"/>
                <w:color w:val="000000"/>
                <w:kern w:val="0"/>
                <w:sz w:val="24"/>
                <w:highlight w:val="yellow"/>
              </w:rPr>
            </w:pPr>
          </w:p>
        </w:tc>
        <w:tc>
          <w:tcPr>
            <w:tcW w:w="770"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售后服务</w:t>
            </w: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详细的项目售后服务方案和培训方案，售后服务方案至少包含售后服务内容、售后响应时间、质保期承诺等方面内容；培训方案至少包含培训时间、地点、内容、课程等方面内容。评审小组根据方案的完整性、科学性和可操作性进行综合评分。优秀的得6-9分,良好的得4-5分,其他的1-3分，满分5分。</w:t>
            </w:r>
          </w:p>
        </w:tc>
        <w:tc>
          <w:tcPr>
            <w:tcW w:w="52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9</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价格分（</w:t>
            </w:r>
            <w:r>
              <w:rPr>
                <w:rFonts w:ascii="仿宋" w:hAnsi="仿宋" w:eastAsia="仿宋" w:cs="宋体"/>
                <w:color w:val="000000"/>
                <w:kern w:val="0"/>
                <w:sz w:val="24"/>
              </w:rPr>
              <w:t>3</w:t>
            </w:r>
            <w:r>
              <w:rPr>
                <w:rFonts w:hint="eastAsia" w:ascii="仿宋" w:hAnsi="仿宋" w:eastAsia="仿宋" w:cs="宋体"/>
                <w:color w:val="000000"/>
                <w:kern w:val="0"/>
                <w:sz w:val="24"/>
              </w:rPr>
              <w:t>0分）</w:t>
            </w:r>
          </w:p>
        </w:tc>
        <w:tc>
          <w:tcPr>
            <w:tcW w:w="770"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报价部分</w:t>
            </w: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1、有效供应商报价中的最低价作为评标基准价。</w:t>
            </w:r>
          </w:p>
        </w:tc>
        <w:tc>
          <w:tcPr>
            <w:tcW w:w="524"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3</w:t>
            </w:r>
            <w:r>
              <w:rPr>
                <w:rFonts w:hint="eastAsia" w:ascii="仿宋" w:hAnsi="仿宋" w:eastAsia="仿宋" w:cs="宋体"/>
                <w:color w:val="000000"/>
                <w:kern w:val="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6" w:type="pct"/>
            <w:vMerge w:val="continue"/>
            <w:vAlign w:val="center"/>
          </w:tcPr>
          <w:p>
            <w:pPr>
              <w:widowControl/>
              <w:jc w:val="left"/>
              <w:rPr>
                <w:rFonts w:ascii="仿宋" w:hAnsi="仿宋" w:eastAsia="仿宋" w:cs="宋体"/>
                <w:color w:val="000000"/>
                <w:kern w:val="0"/>
                <w:sz w:val="24"/>
              </w:rPr>
            </w:pPr>
          </w:p>
        </w:tc>
        <w:tc>
          <w:tcPr>
            <w:tcW w:w="770" w:type="pct"/>
            <w:vMerge w:val="continue"/>
            <w:vAlign w:val="center"/>
          </w:tcPr>
          <w:p>
            <w:pPr>
              <w:widowControl/>
              <w:jc w:val="left"/>
              <w:rPr>
                <w:rFonts w:ascii="仿宋" w:hAnsi="仿宋" w:eastAsia="仿宋" w:cs="宋体"/>
                <w:color w:val="000000"/>
                <w:kern w:val="0"/>
                <w:sz w:val="24"/>
              </w:rPr>
            </w:pPr>
          </w:p>
        </w:tc>
        <w:tc>
          <w:tcPr>
            <w:tcW w:w="3150" w:type="pc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 xml:space="preserve">2、评标价等于评标基准价的，其投标报价评分得该评分因素权重分值。其他评标价对应得分统一按照下列公式计算：投标报价得分＝（评标基准价/评标价）× </w:t>
            </w:r>
            <w:r>
              <w:rPr>
                <w:rFonts w:ascii="仿宋" w:hAnsi="仿宋" w:eastAsia="仿宋" w:cs="宋体"/>
                <w:color w:val="000000"/>
                <w:kern w:val="0"/>
                <w:sz w:val="24"/>
              </w:rPr>
              <w:t>3</w:t>
            </w:r>
            <w:r>
              <w:rPr>
                <w:rFonts w:hint="eastAsia" w:ascii="仿宋" w:hAnsi="仿宋" w:eastAsia="仿宋" w:cs="宋体"/>
                <w:color w:val="000000"/>
                <w:kern w:val="0"/>
                <w:sz w:val="24"/>
              </w:rPr>
              <w:t>0</w:t>
            </w:r>
            <w:r>
              <w:rPr>
                <w:rFonts w:ascii="仿宋" w:hAnsi="仿宋" w:eastAsia="仿宋" w:cs="宋体"/>
                <w:color w:val="000000"/>
                <w:kern w:val="0"/>
                <w:sz w:val="24"/>
              </w:rPr>
              <w:t>%</w:t>
            </w:r>
            <w:r>
              <w:rPr>
                <w:rFonts w:hint="eastAsia" w:ascii="仿宋" w:hAnsi="仿宋" w:eastAsia="仿宋" w:cs="宋体"/>
                <w:color w:val="000000"/>
                <w:kern w:val="0"/>
                <w:sz w:val="24"/>
              </w:rPr>
              <w:t>×1</w:t>
            </w:r>
            <w:r>
              <w:rPr>
                <w:rFonts w:ascii="仿宋" w:hAnsi="仿宋" w:eastAsia="仿宋" w:cs="宋体"/>
                <w:color w:val="000000"/>
                <w:kern w:val="0"/>
                <w:sz w:val="24"/>
              </w:rPr>
              <w:t>00</w:t>
            </w:r>
            <w:r>
              <w:rPr>
                <w:rFonts w:hint="eastAsia" w:ascii="仿宋" w:hAnsi="仿宋" w:eastAsia="仿宋" w:cs="宋体"/>
                <w:color w:val="000000"/>
                <w:kern w:val="0"/>
                <w:sz w:val="24"/>
              </w:rPr>
              <w:t>。</w:t>
            </w:r>
          </w:p>
        </w:tc>
        <w:tc>
          <w:tcPr>
            <w:tcW w:w="524" w:type="pct"/>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pct"/>
            <w:vMerge w:val="continue"/>
            <w:vAlign w:val="center"/>
          </w:tcPr>
          <w:p>
            <w:pPr>
              <w:widowControl/>
              <w:jc w:val="left"/>
              <w:rPr>
                <w:rFonts w:ascii="仿宋" w:hAnsi="仿宋" w:eastAsia="仿宋" w:cs="宋体"/>
                <w:color w:val="000000"/>
                <w:kern w:val="0"/>
                <w:sz w:val="24"/>
              </w:rPr>
            </w:pPr>
          </w:p>
        </w:tc>
        <w:tc>
          <w:tcPr>
            <w:tcW w:w="770" w:type="pct"/>
            <w:vMerge w:val="continue"/>
            <w:vAlign w:val="center"/>
          </w:tcPr>
          <w:p>
            <w:pPr>
              <w:widowControl/>
              <w:jc w:val="left"/>
              <w:rPr>
                <w:rFonts w:ascii="仿宋" w:hAnsi="仿宋" w:eastAsia="仿宋" w:cs="宋体"/>
                <w:color w:val="000000"/>
                <w:kern w:val="0"/>
                <w:sz w:val="24"/>
              </w:rPr>
            </w:pP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3、供应商的投标报价超过应答限价的按否决处理。</w:t>
            </w:r>
          </w:p>
        </w:tc>
        <w:tc>
          <w:tcPr>
            <w:tcW w:w="524" w:type="pct"/>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pct"/>
            <w:vMerge w:val="continue"/>
            <w:vAlign w:val="center"/>
          </w:tcPr>
          <w:p>
            <w:pPr>
              <w:widowControl/>
              <w:jc w:val="left"/>
              <w:rPr>
                <w:rFonts w:ascii="仿宋" w:hAnsi="仿宋" w:eastAsia="仿宋" w:cs="宋体"/>
                <w:color w:val="000000"/>
                <w:kern w:val="0"/>
                <w:sz w:val="24"/>
              </w:rPr>
            </w:pPr>
          </w:p>
        </w:tc>
        <w:tc>
          <w:tcPr>
            <w:tcW w:w="770" w:type="pct"/>
            <w:vMerge w:val="continue"/>
            <w:vAlign w:val="center"/>
          </w:tcPr>
          <w:p>
            <w:pPr>
              <w:widowControl/>
              <w:jc w:val="left"/>
              <w:rPr>
                <w:rFonts w:ascii="仿宋" w:hAnsi="仿宋" w:eastAsia="仿宋" w:cs="宋体"/>
                <w:color w:val="000000"/>
                <w:kern w:val="0"/>
                <w:sz w:val="24"/>
              </w:rPr>
            </w:pPr>
          </w:p>
        </w:tc>
        <w:tc>
          <w:tcPr>
            <w:tcW w:w="3150"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注：计算得分保留至小数点后两位，第三位四舍五入。</w:t>
            </w:r>
          </w:p>
        </w:tc>
        <w:tc>
          <w:tcPr>
            <w:tcW w:w="524" w:type="pct"/>
            <w:vMerge w:val="continue"/>
            <w:vAlign w:val="center"/>
          </w:tcPr>
          <w:p>
            <w:pPr>
              <w:widowControl/>
              <w:jc w:val="left"/>
              <w:rPr>
                <w:rFonts w:ascii="仿宋" w:hAnsi="仿宋" w:eastAsia="仿宋" w:cs="宋体"/>
                <w:color w:val="000000"/>
                <w:kern w:val="0"/>
                <w:sz w:val="24"/>
              </w:rPr>
            </w:pPr>
          </w:p>
        </w:tc>
      </w:tr>
    </w:tbl>
    <w:p>
      <w:pPr>
        <w:pStyle w:val="20"/>
      </w:pPr>
    </w:p>
    <w:p>
      <w:pPr>
        <w:widowControl/>
        <w:shd w:val="clear" w:color="auto" w:fill="FFFFFF"/>
        <w:spacing w:line="64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（三）评审结果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1、成交候选供应商的确定</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a、供应商实际得分为技术商务部分、价格2项得分之和。所有统计分值均保留至小数点后两位，小数点后第三位四舍五入。</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b、技术商务部分评审由全体评审小组成员综合评议并独立打分，报价评审由项目组统计，全体评审小组成员核实无误后签字确认。</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c、供应技术商务部分评审得分为全体评审小组成员打分的算术平均值。</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d、评审小组通过综合打分，评定出供应商的排名顺序(从高分到低分)。推荐排名第一的供应商作为成交候选供应商。</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2、成交供应商的确定</w:t>
      </w:r>
    </w:p>
    <w:p>
      <w:pPr>
        <w:spacing w:line="360" w:lineRule="auto"/>
        <w:ind w:firstLine="640" w:firstLineChars="200"/>
        <w:rPr>
          <w:rFonts w:ascii="仿宋" w:hAnsi="仿宋" w:eastAsia="仿宋" w:cs="仿宋"/>
          <w:bCs/>
          <w:sz w:val="32"/>
          <w:szCs w:val="32"/>
        </w:rPr>
      </w:pPr>
      <w:bookmarkStart w:id="1" w:name="_Toc209328440"/>
      <w:r>
        <w:rPr>
          <w:rFonts w:hint="eastAsia" w:ascii="仿宋" w:hAnsi="仿宋" w:eastAsia="仿宋" w:cs="仿宋"/>
          <w:bCs/>
          <w:sz w:val="32"/>
          <w:szCs w:val="32"/>
        </w:rPr>
        <w:t>a、根据评审小组推荐的成交候选供应商名单，采购人依法确定成交供应商。</w:t>
      </w:r>
      <w:bookmarkEnd w:id="1"/>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b、本项目不承诺最低价成交，也不解释供应商不成交的原因。</w:t>
      </w:r>
    </w:p>
    <w:p>
      <w:pPr>
        <w:widowControl/>
        <w:shd w:val="clear" w:color="auto" w:fill="FFFFFF"/>
        <w:spacing w:line="640" w:lineRule="exact"/>
        <w:ind w:firstLine="640" w:firstLineChars="200"/>
        <w:rPr>
          <w:rFonts w:ascii="仿宋" w:hAnsi="仿宋" w:eastAsia="仿宋" w:cs="仿宋"/>
          <w:b/>
          <w:bCs/>
          <w:kern w:val="0"/>
          <w:sz w:val="32"/>
          <w:szCs w:val="32"/>
        </w:rPr>
      </w:pPr>
      <w:r>
        <w:rPr>
          <w:rFonts w:hint="eastAsia" w:ascii="仿宋" w:hAnsi="仿宋" w:eastAsia="仿宋" w:cs="仿宋"/>
          <w:bCs/>
          <w:sz w:val="32"/>
          <w:szCs w:val="32"/>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jc w:val="left"/>
        <w:outlineLvl w:val="0"/>
        <w:rPr>
          <w:rFonts w:ascii="黑体" w:hAnsi="黑体" w:eastAsia="黑体" w:cs="黑体"/>
          <w:sz w:val="32"/>
          <w:szCs w:val="32"/>
        </w:rPr>
      </w:pPr>
      <w:r>
        <w:rPr>
          <w:rFonts w:hint="eastAsia" w:ascii="黑体" w:hAnsi="黑体" w:eastAsia="黑体" w:cs="黑体"/>
          <w:sz w:val="32"/>
          <w:szCs w:val="32"/>
        </w:rPr>
        <w:t>七、其他事项说明</w:t>
      </w:r>
    </w:p>
    <w:p>
      <w:pPr>
        <w:pStyle w:val="13"/>
        <w:widowControl/>
        <w:shd w:val="clear" w:color="auto" w:fill="FFFFFF"/>
        <w:spacing w:before="0" w:beforeAutospacing="0" w:after="0" w:afterAutospacing="0"/>
        <w:ind w:firstLine="645"/>
        <w:rPr>
          <w:rFonts w:ascii="仿宋" w:hAnsi="仿宋" w:eastAsia="仿宋" w:cs="仿宋"/>
          <w:kern w:val="2"/>
          <w:sz w:val="32"/>
          <w:szCs w:val="32"/>
        </w:rPr>
      </w:pPr>
      <w:r>
        <w:rPr>
          <w:rFonts w:hint="eastAsia" w:ascii="仿宋" w:hAnsi="仿宋" w:eastAsia="仿宋" w:cs="仿宋"/>
          <w:kern w:val="2"/>
          <w:sz w:val="32"/>
          <w:szCs w:val="32"/>
        </w:rPr>
        <w:t>供应商须在2022年*月*日(星期*)1</w:t>
      </w:r>
      <w:r>
        <w:rPr>
          <w:rFonts w:hint="eastAsia" w:ascii="仿宋" w:hAnsi="仿宋" w:eastAsia="仿宋" w:cs="仿宋"/>
          <w:kern w:val="2"/>
          <w:sz w:val="32"/>
          <w:szCs w:val="32"/>
          <w:lang w:val="en-US" w:eastAsia="zh-CN"/>
        </w:rPr>
        <w:t>0</w:t>
      </w:r>
      <w:bookmarkStart w:id="3" w:name="_GoBack"/>
      <w:bookmarkEnd w:id="3"/>
      <w:r>
        <w:rPr>
          <w:rFonts w:hint="eastAsia" w:ascii="仿宋" w:hAnsi="仿宋" w:eastAsia="仿宋" w:cs="仿宋"/>
          <w:kern w:val="2"/>
          <w:sz w:val="32"/>
          <w:szCs w:val="32"/>
        </w:rPr>
        <w:t>:00前（以邮寄签收或现场送达时间为准）将所有纸质响应材料装订（建议胶状）密封后邮寄或送至合肥市大数据资产运营有限公司，逾期响应无效，采购人不予接收。</w:t>
      </w:r>
    </w:p>
    <w:p>
      <w:pPr>
        <w:pStyle w:val="13"/>
        <w:widowControl/>
        <w:shd w:val="clear" w:color="auto" w:fill="FFFFFF"/>
        <w:spacing w:before="0" w:beforeAutospacing="0" w:after="0" w:afterAutospacing="0"/>
        <w:rPr>
          <w:rFonts w:ascii="黑体" w:hAnsi="黑体" w:eastAsia="黑体" w:cs="黑体"/>
          <w:kern w:val="2"/>
          <w:sz w:val="32"/>
          <w:szCs w:val="32"/>
        </w:rPr>
      </w:pPr>
      <w:r>
        <w:rPr>
          <w:rFonts w:hint="eastAsia" w:ascii="黑体" w:hAnsi="黑体" w:eastAsia="黑体" w:cs="黑体"/>
          <w:kern w:val="2"/>
          <w:sz w:val="32"/>
          <w:szCs w:val="32"/>
        </w:rPr>
        <w:t xml:space="preserve">八、付款方式   </w:t>
      </w:r>
    </w:p>
    <w:p>
      <w:pPr>
        <w:pStyle w:val="30"/>
        <w:spacing w:line="560" w:lineRule="exact"/>
        <w:ind w:left="0" w:firstLine="640" w:firstLineChars="200"/>
        <w:rPr>
          <w:rFonts w:ascii="仿宋" w:hAnsi="仿宋" w:eastAsia="仿宋" w:cs="仿宋"/>
          <w:sz w:val="32"/>
          <w:szCs w:val="32"/>
        </w:rPr>
      </w:pPr>
      <w:r>
        <w:rPr>
          <w:rFonts w:hint="eastAsia" w:ascii="仿宋" w:hAnsi="仿宋" w:eastAsia="仿宋" w:cs="仿宋"/>
          <w:sz w:val="32"/>
          <w:szCs w:val="32"/>
        </w:rPr>
        <w:t>合同期内所有货物安装完毕后支付 VPN及数据备份系统费用 50% 首付款。货物安装完成并经采购人验收合格后付至 VPN 及数据备份系统合同费95% 。剩5 % 为质保金，待三年质保期满后一次性支付（无息）。</w:t>
      </w:r>
    </w:p>
    <w:p>
      <w:pPr>
        <w:jc w:val="left"/>
        <w:outlineLvl w:val="0"/>
        <w:rPr>
          <w:rFonts w:ascii="黑体" w:hAnsi="黑体" w:eastAsia="黑体" w:cs="黑体"/>
          <w:sz w:val="32"/>
          <w:szCs w:val="32"/>
        </w:rPr>
      </w:pPr>
      <w:r>
        <w:rPr>
          <w:rFonts w:hint="eastAsia" w:ascii="黑体" w:hAnsi="黑体" w:eastAsia="黑体" w:cs="黑体"/>
          <w:sz w:val="32"/>
          <w:szCs w:val="32"/>
        </w:rPr>
        <w:t>九、供应商报价资料清单</w:t>
      </w:r>
    </w:p>
    <w:tbl>
      <w:tblPr>
        <w:tblStyle w:val="15"/>
        <w:tblW w:w="8582" w:type="dxa"/>
        <w:tblInd w:w="-242" w:type="dxa"/>
        <w:shd w:val="clear" w:color="auto" w:fill="FFFFFF"/>
        <w:tblLayout w:type="autofit"/>
        <w:tblCellMar>
          <w:top w:w="0" w:type="dxa"/>
          <w:left w:w="0" w:type="dxa"/>
          <w:bottom w:w="0" w:type="dxa"/>
          <w:right w:w="0" w:type="dxa"/>
        </w:tblCellMar>
      </w:tblPr>
      <w:tblGrid>
        <w:gridCol w:w="947"/>
        <w:gridCol w:w="6203"/>
        <w:gridCol w:w="1432"/>
      </w:tblGrid>
      <w:tr>
        <w:tblPrEx>
          <w:tblCellMar>
            <w:top w:w="0" w:type="dxa"/>
            <w:left w:w="0" w:type="dxa"/>
            <w:bottom w:w="0" w:type="dxa"/>
            <w:right w:w="0" w:type="dxa"/>
          </w:tblCellMar>
        </w:tblPrEx>
        <w:trPr>
          <w:trHeight w:val="585" w:hRule="atLeast"/>
        </w:trPr>
        <w:tc>
          <w:tcPr>
            <w:tcW w:w="9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405" w:lineRule="atLeast"/>
              <w:jc w:val="center"/>
              <w:rPr>
                <w:rFonts w:ascii="仿宋" w:hAnsi="仿宋" w:eastAsia="仿宋" w:cs="仿宋"/>
                <w:b/>
                <w:bCs/>
                <w:sz w:val="28"/>
                <w:szCs w:val="28"/>
              </w:rPr>
            </w:pPr>
            <w:r>
              <w:rPr>
                <w:rFonts w:hint="eastAsia" w:ascii="仿宋" w:hAnsi="仿宋" w:eastAsia="仿宋" w:cs="仿宋"/>
                <w:b/>
                <w:bCs/>
                <w:color w:val="5A5A5A"/>
                <w:sz w:val="28"/>
                <w:szCs w:val="28"/>
              </w:rPr>
              <w:t>序号</w:t>
            </w:r>
          </w:p>
        </w:tc>
        <w:tc>
          <w:tcPr>
            <w:tcW w:w="62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405" w:lineRule="atLeast"/>
              <w:jc w:val="center"/>
              <w:rPr>
                <w:rFonts w:ascii="仿宋" w:hAnsi="仿宋" w:eastAsia="仿宋" w:cs="仿宋"/>
                <w:b/>
                <w:bCs/>
                <w:sz w:val="28"/>
                <w:szCs w:val="28"/>
              </w:rPr>
            </w:pPr>
            <w:r>
              <w:rPr>
                <w:rFonts w:hint="eastAsia" w:ascii="仿宋" w:hAnsi="仿宋" w:eastAsia="仿宋" w:cs="仿宋"/>
                <w:b/>
                <w:bCs/>
                <w:color w:val="5A5A5A"/>
                <w:sz w:val="28"/>
                <w:szCs w:val="28"/>
              </w:rPr>
              <w:t>资料名称</w:t>
            </w:r>
          </w:p>
        </w:tc>
        <w:tc>
          <w:tcPr>
            <w:tcW w:w="143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405" w:lineRule="atLeast"/>
              <w:jc w:val="center"/>
              <w:rPr>
                <w:rFonts w:ascii="仿宋" w:hAnsi="仿宋" w:eastAsia="仿宋" w:cs="仿宋"/>
                <w:b/>
                <w:bCs/>
                <w:sz w:val="28"/>
                <w:szCs w:val="28"/>
              </w:rPr>
            </w:pPr>
            <w:r>
              <w:rPr>
                <w:rFonts w:hint="eastAsia" w:ascii="仿宋" w:hAnsi="仿宋" w:eastAsia="仿宋" w:cs="仿宋"/>
                <w:b/>
                <w:bCs/>
                <w:color w:val="5A5A5A"/>
                <w:sz w:val="28"/>
                <w:szCs w:val="28"/>
              </w:rPr>
              <w:t>备注</w:t>
            </w: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45" w:beforeAutospacing="0" w:after="45" w:afterAutospacing="0" w:line="360" w:lineRule="atLeast"/>
              <w:jc w:val="center"/>
              <w:rPr>
                <w:rFonts w:ascii="仿宋" w:hAnsi="仿宋" w:eastAsia="仿宋" w:cs="仿宋"/>
                <w:b/>
                <w:bCs/>
                <w:sz w:val="28"/>
                <w:szCs w:val="28"/>
              </w:rPr>
            </w:pPr>
            <w:r>
              <w:rPr>
                <w:rFonts w:hint="eastAsia" w:ascii="仿宋" w:hAnsi="仿宋" w:eastAsia="仿宋" w:cs="仿宋"/>
                <w:b/>
                <w:bCs/>
                <w:color w:val="5A5A5A"/>
                <w:sz w:val="28"/>
                <w:szCs w:val="28"/>
              </w:rPr>
              <w:t>一</w:t>
            </w:r>
          </w:p>
        </w:tc>
        <w:tc>
          <w:tcPr>
            <w:tcW w:w="62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rPr>
              <w:t>报价表、分项报价表</w:t>
            </w:r>
          </w:p>
        </w:tc>
        <w:tc>
          <w:tcPr>
            <w:tcW w:w="1432"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left"/>
              <w:rPr>
                <w:rFonts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45" w:beforeAutospacing="0" w:after="45" w:afterAutospacing="0" w:line="360" w:lineRule="atLeast"/>
              <w:jc w:val="center"/>
              <w:rPr>
                <w:rFonts w:ascii="仿宋" w:hAnsi="仿宋" w:eastAsia="仿宋" w:cs="仿宋"/>
                <w:b/>
                <w:bCs/>
                <w:sz w:val="28"/>
                <w:szCs w:val="28"/>
              </w:rPr>
            </w:pPr>
            <w:r>
              <w:rPr>
                <w:rFonts w:hint="eastAsia" w:ascii="仿宋" w:hAnsi="仿宋" w:eastAsia="仿宋" w:cs="仿宋"/>
                <w:b/>
                <w:bCs/>
                <w:color w:val="5A5A5A"/>
                <w:sz w:val="28"/>
                <w:szCs w:val="28"/>
              </w:rPr>
              <w:t>二</w:t>
            </w:r>
          </w:p>
        </w:tc>
        <w:tc>
          <w:tcPr>
            <w:tcW w:w="62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rPr>
              <w:t>供应商综合情况简介</w:t>
            </w:r>
          </w:p>
        </w:tc>
        <w:tc>
          <w:tcPr>
            <w:tcW w:w="1432"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left"/>
              <w:rPr>
                <w:rFonts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45" w:beforeAutospacing="0" w:after="45" w:afterAutospacing="0" w:line="360" w:lineRule="atLeast"/>
              <w:jc w:val="center"/>
              <w:rPr>
                <w:rFonts w:ascii="仿宋" w:hAnsi="仿宋" w:eastAsia="仿宋" w:cs="仿宋"/>
                <w:b/>
                <w:bCs/>
                <w:sz w:val="28"/>
                <w:szCs w:val="28"/>
              </w:rPr>
            </w:pPr>
            <w:r>
              <w:rPr>
                <w:rFonts w:hint="eastAsia" w:ascii="仿宋" w:hAnsi="仿宋" w:eastAsia="仿宋" w:cs="仿宋"/>
                <w:b/>
                <w:bCs/>
                <w:color w:val="5A5A5A"/>
                <w:sz w:val="28"/>
                <w:szCs w:val="28"/>
              </w:rPr>
              <w:t>三</w:t>
            </w:r>
          </w:p>
        </w:tc>
        <w:tc>
          <w:tcPr>
            <w:tcW w:w="62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rPr>
              <w:t>承诺函</w:t>
            </w:r>
          </w:p>
        </w:tc>
        <w:tc>
          <w:tcPr>
            <w:tcW w:w="1432"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left"/>
              <w:rPr>
                <w:rFonts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45" w:beforeAutospacing="0" w:after="45" w:afterAutospacing="0" w:line="360" w:lineRule="atLeast"/>
              <w:jc w:val="center"/>
              <w:rPr>
                <w:rFonts w:ascii="仿宋" w:hAnsi="仿宋" w:eastAsia="仿宋" w:cs="仿宋"/>
                <w:b/>
                <w:bCs/>
                <w:sz w:val="28"/>
                <w:szCs w:val="28"/>
              </w:rPr>
            </w:pPr>
            <w:r>
              <w:rPr>
                <w:rFonts w:hint="eastAsia" w:ascii="仿宋" w:hAnsi="仿宋" w:eastAsia="仿宋" w:cs="仿宋"/>
                <w:b/>
                <w:bCs/>
                <w:color w:val="5A5A5A"/>
                <w:sz w:val="28"/>
                <w:szCs w:val="28"/>
              </w:rPr>
              <w:t>四</w:t>
            </w:r>
          </w:p>
        </w:tc>
        <w:tc>
          <w:tcPr>
            <w:tcW w:w="62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rPr>
              <w:t>营业执照</w:t>
            </w:r>
          </w:p>
        </w:tc>
        <w:tc>
          <w:tcPr>
            <w:tcW w:w="1432"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left"/>
              <w:rPr>
                <w:rFonts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45" w:beforeAutospacing="0" w:after="45" w:afterAutospacing="0" w:line="360" w:lineRule="atLeast"/>
              <w:jc w:val="center"/>
              <w:rPr>
                <w:rFonts w:ascii="仿宋" w:hAnsi="仿宋" w:eastAsia="仿宋" w:cs="仿宋"/>
                <w:b/>
                <w:bCs/>
                <w:color w:val="5A5A5A"/>
                <w:sz w:val="28"/>
                <w:szCs w:val="28"/>
              </w:rPr>
            </w:pPr>
            <w:r>
              <w:rPr>
                <w:rFonts w:hint="eastAsia" w:ascii="仿宋" w:hAnsi="仿宋" w:eastAsia="仿宋" w:cs="仿宋"/>
                <w:b/>
                <w:bCs/>
                <w:color w:val="5A5A5A"/>
                <w:sz w:val="28"/>
                <w:szCs w:val="28"/>
              </w:rPr>
              <w:t>五</w:t>
            </w:r>
          </w:p>
        </w:tc>
        <w:tc>
          <w:tcPr>
            <w:tcW w:w="62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rPr>
                <w:rFonts w:ascii="仿宋" w:hAnsi="仿宋" w:eastAsia="仿宋" w:cs="仿宋"/>
                <w:b/>
                <w:bCs/>
                <w:color w:val="5A5A5A"/>
                <w:sz w:val="28"/>
                <w:szCs w:val="28"/>
              </w:rPr>
            </w:pPr>
            <w:r>
              <w:rPr>
                <w:rFonts w:hint="eastAsia" w:ascii="仿宋" w:hAnsi="仿宋" w:eastAsia="仿宋" w:cs="仿宋"/>
                <w:b/>
                <w:bCs/>
                <w:color w:val="5A5A5A"/>
                <w:sz w:val="28"/>
                <w:szCs w:val="28"/>
              </w:rPr>
              <w:t>响应/偏离表</w:t>
            </w:r>
          </w:p>
        </w:tc>
        <w:tc>
          <w:tcPr>
            <w:tcW w:w="1432"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left"/>
              <w:rPr>
                <w:rFonts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45" w:beforeAutospacing="0" w:after="45" w:afterAutospacing="0" w:line="360" w:lineRule="atLeast"/>
              <w:jc w:val="center"/>
              <w:rPr>
                <w:rFonts w:ascii="仿宋" w:hAnsi="仿宋" w:eastAsia="仿宋" w:cs="仿宋"/>
                <w:b/>
                <w:bCs/>
                <w:sz w:val="28"/>
                <w:szCs w:val="28"/>
              </w:rPr>
            </w:pPr>
            <w:r>
              <w:rPr>
                <w:rFonts w:hint="eastAsia" w:ascii="仿宋" w:hAnsi="仿宋" w:eastAsia="仿宋" w:cs="仿宋"/>
                <w:b/>
                <w:bCs/>
                <w:color w:val="5A5A5A"/>
                <w:sz w:val="28"/>
                <w:szCs w:val="28"/>
              </w:rPr>
              <w:t>六</w:t>
            </w:r>
          </w:p>
        </w:tc>
        <w:tc>
          <w:tcPr>
            <w:tcW w:w="62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rPr>
              <w:t>相关证明材料</w:t>
            </w:r>
          </w:p>
        </w:tc>
        <w:tc>
          <w:tcPr>
            <w:tcW w:w="1432" w:type="dxa"/>
            <w:tcBorders>
              <w:top w:val="nil"/>
              <w:left w:val="nil"/>
              <w:bottom w:val="single" w:color="auto" w:sz="6" w:space="0"/>
              <w:right w:val="single" w:color="auto" w:sz="6" w:space="0"/>
            </w:tcBorders>
            <w:shd w:val="clear" w:color="auto" w:fill="FFFFFF"/>
            <w:tcMar>
              <w:left w:w="105" w:type="dxa"/>
              <w:right w:w="105" w:type="dxa"/>
            </w:tcMar>
            <w:vAlign w:val="center"/>
          </w:tcPr>
          <w:p>
            <w:pPr>
              <w:widowControl/>
              <w:jc w:val="left"/>
              <w:rPr>
                <w:rFonts w:ascii="仿宋" w:hAnsi="仿宋" w:eastAsia="仿宋" w:cs="仿宋"/>
                <w:color w:val="5A5A5A"/>
                <w:sz w:val="28"/>
                <w:szCs w:val="28"/>
              </w:rPr>
            </w:pPr>
          </w:p>
        </w:tc>
      </w:tr>
    </w:tbl>
    <w:p>
      <w:pPr>
        <w:pStyle w:val="13"/>
        <w:widowControl/>
        <w:shd w:val="clear" w:color="auto" w:fill="FFFFFF"/>
        <w:spacing w:before="0" w:beforeAutospacing="0" w:after="0" w:afterAutospacing="0"/>
        <w:rPr>
          <w:rFonts w:ascii="微软雅黑" w:hAnsi="微软雅黑" w:eastAsia="微软雅黑" w:cs="微软雅黑"/>
          <w:color w:val="5A5A5A"/>
        </w:rPr>
      </w:pPr>
    </w:p>
    <w:p>
      <w:pPr>
        <w:rPr>
          <w:rFonts w:ascii="方正小标宋简体" w:hAnsi="方正小标宋简体" w:eastAsia="方正小标宋简体" w:cs="方正小标宋简体"/>
          <w:color w:val="000000"/>
          <w:sz w:val="44"/>
          <w:szCs w:val="44"/>
        </w:rPr>
      </w:pPr>
      <w:r>
        <w:rPr>
          <w:rFonts w:hint="eastAsia" w:ascii="微软雅黑" w:hAnsi="微软雅黑" w:eastAsia="微软雅黑" w:cs="微软雅黑"/>
          <w:color w:val="5A5A5A"/>
          <w:sz w:val="24"/>
        </w:rPr>
        <w:br w:type="page"/>
      </w:r>
    </w:p>
    <w:p>
      <w:pPr>
        <w:rPr>
          <w:rFonts w:ascii="仿宋" w:hAnsi="仿宋" w:eastAsia="仿宋" w:cs="仿宋"/>
          <w:b/>
          <w:bCs/>
          <w:color w:val="5A5A5A"/>
          <w:sz w:val="32"/>
          <w:szCs w:val="32"/>
        </w:rPr>
      </w:pPr>
      <w:r>
        <w:rPr>
          <w:rFonts w:hint="eastAsia" w:ascii="仿宋" w:hAnsi="仿宋" w:eastAsia="仿宋" w:cs="仿宋"/>
          <w:b/>
          <w:bCs/>
          <w:color w:val="5A5A5A"/>
          <w:sz w:val="32"/>
          <w:szCs w:val="32"/>
        </w:rPr>
        <w:t>附件一</w:t>
      </w:r>
    </w:p>
    <w:p>
      <w:pPr>
        <w:pStyle w:val="13"/>
        <w:widowControl/>
        <w:shd w:val="clear" w:color="auto" w:fill="FFFFFF"/>
        <w:spacing w:before="120" w:beforeAutospacing="0" w:after="120" w:afterAutospacing="0" w:line="360" w:lineRule="atLeast"/>
        <w:jc w:val="center"/>
        <w:rPr>
          <w:rFonts w:ascii="微软雅黑" w:hAnsi="微软雅黑" w:eastAsia="微软雅黑" w:cs="微软雅黑"/>
          <w:color w:val="5A5A5A"/>
        </w:rPr>
      </w:pPr>
      <w:r>
        <w:rPr>
          <w:rStyle w:val="18"/>
          <w:rFonts w:hint="eastAsia" w:ascii="宋体" w:hAnsi="宋体" w:eastAsia="宋体" w:cs="宋体"/>
          <w:bCs/>
          <w:color w:val="5A5A5A"/>
          <w:shd w:val="clear" w:color="auto" w:fill="FFFFFF"/>
        </w:rPr>
        <w:t>报价表</w:t>
      </w:r>
    </w:p>
    <w:p>
      <w:pPr>
        <w:pStyle w:val="13"/>
        <w:widowControl/>
        <w:shd w:val="clear" w:color="auto" w:fill="FFFFFF"/>
        <w:spacing w:before="0" w:beforeAutospacing="0" w:after="0" w:afterAutospacing="0" w:line="360" w:lineRule="atLeast"/>
        <w:rPr>
          <w:rStyle w:val="18"/>
          <w:rFonts w:ascii="宋体" w:hAnsi="宋体" w:cs="宋体"/>
          <w:bCs/>
          <w:color w:val="5A5A5A"/>
          <w:shd w:val="clear" w:color="auto" w:fill="FFFFFF"/>
        </w:rPr>
      </w:pPr>
      <w:r>
        <w:rPr>
          <w:rStyle w:val="18"/>
          <w:rFonts w:hint="eastAsia" w:ascii="宋体" w:hAnsi="宋体" w:eastAsia="宋体" w:cs="宋体"/>
          <w:bCs/>
          <w:color w:val="5A5A5A"/>
          <w:shd w:val="clear" w:color="auto" w:fill="FFFFFF"/>
        </w:rPr>
        <w:t>项目名称：</w:t>
      </w:r>
    </w:p>
    <w:tbl>
      <w:tblPr>
        <w:tblStyle w:val="15"/>
        <w:tblW w:w="8516" w:type="dxa"/>
        <w:tblInd w:w="0" w:type="dxa"/>
        <w:shd w:val="clear" w:color="auto" w:fill="FFFFFF"/>
        <w:tblLayout w:type="fixed"/>
        <w:tblCellMar>
          <w:top w:w="0" w:type="dxa"/>
          <w:left w:w="0" w:type="dxa"/>
          <w:bottom w:w="0" w:type="dxa"/>
          <w:right w:w="0" w:type="dxa"/>
        </w:tblCellMar>
      </w:tblPr>
      <w:tblGrid>
        <w:gridCol w:w="1591"/>
        <w:gridCol w:w="6925"/>
      </w:tblGrid>
      <w:tr>
        <w:tblPrEx>
          <w:shd w:val="clear" w:color="auto" w:fill="FFFFFF"/>
          <w:tblCellMar>
            <w:top w:w="0" w:type="dxa"/>
            <w:left w:w="0" w:type="dxa"/>
            <w:bottom w:w="0" w:type="dxa"/>
            <w:right w:w="0" w:type="dxa"/>
          </w:tblCellMar>
        </w:tblPrEx>
        <w:trPr>
          <w:trHeight w:val="660" w:hRule="atLeast"/>
        </w:trPr>
        <w:tc>
          <w:tcPr>
            <w:tcW w:w="159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jc w:val="center"/>
            </w:pPr>
            <w:r>
              <w:rPr>
                <w:rStyle w:val="18"/>
                <w:rFonts w:hint="eastAsia" w:ascii="宋体" w:hAnsi="宋体" w:eastAsia="宋体" w:cs="宋体"/>
                <w:bCs/>
                <w:color w:val="5A5A5A"/>
              </w:rPr>
              <w:t>供应商名称</w:t>
            </w:r>
          </w:p>
        </w:tc>
        <w:tc>
          <w:tcPr>
            <w:tcW w:w="6925"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widowControl/>
              <w:jc w:val="left"/>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780"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jc w:val="center"/>
            </w:pPr>
            <w:r>
              <w:rPr>
                <w:rStyle w:val="18"/>
                <w:rFonts w:hint="eastAsia" w:ascii="宋体" w:hAnsi="宋体" w:eastAsia="宋体" w:cs="宋体"/>
                <w:bCs/>
                <w:color w:val="5A5A5A"/>
              </w:rPr>
              <w:t>报价范围</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pPr>
            <w:r>
              <w:rPr>
                <w:rStyle w:val="18"/>
                <w:rFonts w:hint="eastAsia" w:ascii="宋体" w:hAnsi="宋体" w:eastAsia="宋体" w:cs="宋体"/>
                <w:bCs/>
                <w:color w:val="5A5A5A"/>
                <w:shd w:val="clear" w:color="auto" w:fill="FFFFFF"/>
              </w:rPr>
              <w:t>完成本项目实施的所有费用</w:t>
            </w:r>
          </w:p>
        </w:tc>
      </w:tr>
      <w:tr>
        <w:tblPrEx>
          <w:shd w:val="clear" w:color="auto" w:fill="FFFFFF"/>
          <w:tblCellMar>
            <w:top w:w="0" w:type="dxa"/>
            <w:left w:w="0" w:type="dxa"/>
            <w:bottom w:w="0" w:type="dxa"/>
            <w:right w:w="0" w:type="dxa"/>
          </w:tblCellMar>
        </w:tblPrEx>
        <w:trPr>
          <w:trHeight w:val="1564"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jc w:val="center"/>
            </w:pPr>
            <w:r>
              <w:rPr>
                <w:rStyle w:val="18"/>
                <w:rFonts w:hint="eastAsia" w:ascii="宋体" w:hAnsi="宋体" w:eastAsia="宋体" w:cs="宋体"/>
                <w:bCs/>
                <w:color w:val="5A5A5A"/>
              </w:rPr>
              <w:t>报价</w:t>
            </w:r>
          </w:p>
          <w:p>
            <w:pPr>
              <w:pStyle w:val="13"/>
              <w:widowControl/>
              <w:spacing w:before="0" w:beforeAutospacing="0" w:after="0" w:afterAutospacing="0" w:line="360" w:lineRule="atLeast"/>
              <w:jc w:val="center"/>
            </w:pPr>
            <w:r>
              <w:rPr>
                <w:rStyle w:val="18"/>
                <w:rFonts w:hint="eastAsia" w:ascii="宋体" w:hAnsi="宋体" w:eastAsia="宋体" w:cs="宋体"/>
                <w:bCs/>
                <w:color w:val="5A5A5A"/>
              </w:rPr>
              <w:t>（详见备注说明）</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rPr>
                <w:rFonts w:ascii="宋体" w:hAnsi="宋体" w:cs="宋体"/>
                <w:color w:val="5A5A5A"/>
                <w:u w:val="single"/>
              </w:rPr>
            </w:pPr>
            <w:r>
              <w:rPr>
                <w:rFonts w:hint="eastAsia" w:ascii="微软雅黑" w:hAnsi="微软雅黑" w:eastAsia="微软雅黑" w:cs="微软雅黑"/>
                <w:color w:val="5A5A5A"/>
              </w:rPr>
              <w:t> </w:t>
            </w:r>
            <w:r>
              <w:rPr>
                <w:rFonts w:hint="eastAsia" w:ascii="宋体" w:hAnsi="宋体" w:cs="宋体"/>
                <w:color w:val="5A5A5A"/>
              </w:rPr>
              <w:t>人民币大写：</w:t>
            </w:r>
            <w:r>
              <w:rPr>
                <w:rFonts w:hint="eastAsia" w:ascii="宋体" w:hAnsi="宋体" w:cs="宋体"/>
                <w:color w:val="5A5A5A"/>
                <w:u w:val="single"/>
              </w:rPr>
              <w:t>         </w:t>
            </w:r>
          </w:p>
          <w:p>
            <w:pPr>
              <w:pStyle w:val="13"/>
              <w:widowControl/>
              <w:spacing w:before="0" w:beforeAutospacing="0" w:after="0" w:afterAutospacing="0" w:line="360" w:lineRule="atLeast"/>
              <w:rPr>
                <w:rFonts w:ascii="宋体" w:hAnsi="宋体" w:cs="宋体"/>
                <w:color w:val="5A5A5A"/>
                <w:u w:val="single"/>
              </w:rPr>
            </w:pPr>
            <w:r>
              <w:rPr>
                <w:rFonts w:hint="eastAsia" w:ascii="宋体" w:hAnsi="宋体" w:cs="宋体"/>
                <w:color w:val="5A5A5A"/>
              </w:rPr>
              <w:t xml:space="preserve">       小写：</w:t>
            </w:r>
            <w:r>
              <w:rPr>
                <w:rFonts w:hint="eastAsia" w:ascii="宋体" w:hAnsi="宋体" w:cs="宋体"/>
                <w:color w:val="5A5A5A"/>
                <w:u w:val="single"/>
              </w:rPr>
              <w:t>         </w:t>
            </w:r>
          </w:p>
        </w:tc>
      </w:tr>
      <w:tr>
        <w:tblPrEx>
          <w:shd w:val="clear" w:color="auto" w:fill="FFFFFF"/>
          <w:tblCellMar>
            <w:top w:w="0" w:type="dxa"/>
            <w:left w:w="0" w:type="dxa"/>
            <w:bottom w:w="0" w:type="dxa"/>
            <w:right w:w="0" w:type="dxa"/>
          </w:tblCellMar>
        </w:tblPrEx>
        <w:trPr>
          <w:trHeight w:val="1564"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jc w:val="center"/>
              <w:rPr>
                <w:rStyle w:val="18"/>
                <w:rFonts w:ascii="宋体" w:hAnsi="宋体" w:eastAsia="宋体" w:cs="宋体"/>
                <w:bCs/>
                <w:color w:val="5A5A5A"/>
              </w:rPr>
            </w:pPr>
            <w:r>
              <w:rPr>
                <w:rStyle w:val="18"/>
                <w:rFonts w:hint="eastAsia" w:ascii="宋体" w:hAnsi="宋体" w:eastAsia="宋体" w:cs="宋体"/>
                <w:bCs/>
                <w:color w:val="5A5A5A"/>
              </w:rPr>
              <w:t>服务期限</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rPr>
                <w:rFonts w:ascii="宋体" w:hAnsi="宋体" w:cs="宋体"/>
                <w:color w:val="5A5A5A"/>
              </w:rPr>
            </w:pPr>
            <w:r>
              <w:rPr>
                <w:rFonts w:hint="eastAsia" w:ascii="仿宋" w:hAnsi="仿宋" w:eastAsia="仿宋" w:cs="仿宋"/>
                <w:sz w:val="32"/>
                <w:szCs w:val="32"/>
              </w:rPr>
              <w:t>合同生效后</w:t>
            </w:r>
            <w:r>
              <w:rPr>
                <w:rFonts w:hint="eastAsia" w:ascii="仿宋" w:hAnsi="仿宋" w:eastAsia="仿宋" w:cs="仿宋"/>
                <w:sz w:val="32"/>
                <w:szCs w:val="32"/>
                <w:u w:val="single"/>
              </w:rPr>
              <w:t xml:space="preserve">    </w:t>
            </w:r>
            <w:r>
              <w:rPr>
                <w:rFonts w:hint="eastAsia" w:ascii="仿宋" w:hAnsi="仿宋" w:eastAsia="仿宋" w:cs="仿宋"/>
                <w:sz w:val="32"/>
                <w:szCs w:val="32"/>
              </w:rPr>
              <w:t>天完成原包装产品交付、安装调试和培训工作</w:t>
            </w:r>
          </w:p>
        </w:tc>
      </w:tr>
      <w:tr>
        <w:tblPrEx>
          <w:shd w:val="clear" w:color="auto" w:fill="FFFFFF"/>
          <w:tblCellMar>
            <w:top w:w="0" w:type="dxa"/>
            <w:left w:w="0" w:type="dxa"/>
            <w:bottom w:w="0" w:type="dxa"/>
            <w:right w:w="0" w:type="dxa"/>
          </w:tblCellMar>
        </w:tblPrEx>
        <w:trPr>
          <w:trHeight w:val="1564"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jc w:val="center"/>
              <w:rPr>
                <w:rStyle w:val="18"/>
                <w:rFonts w:ascii="宋体" w:hAnsi="宋体" w:eastAsia="宋体" w:cs="宋体"/>
                <w:bCs/>
                <w:color w:val="5A5A5A"/>
              </w:rPr>
            </w:pPr>
            <w:r>
              <w:rPr>
                <w:rStyle w:val="18"/>
                <w:rFonts w:hint="eastAsia" w:ascii="宋体" w:hAnsi="宋体" w:eastAsia="宋体" w:cs="宋体"/>
                <w:bCs/>
                <w:color w:val="5A5A5A"/>
              </w:rPr>
              <w:t>质保期</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rPr>
                <w:rFonts w:ascii="仿宋" w:hAnsi="仿宋" w:eastAsia="仿宋" w:cs="仿宋"/>
                <w:sz w:val="32"/>
                <w:szCs w:val="32"/>
              </w:rPr>
            </w:pPr>
            <w:r>
              <w:rPr>
                <w:rFonts w:hint="eastAsia" w:ascii="仿宋" w:hAnsi="仿宋" w:eastAsia="仿宋" w:cs="仿宋"/>
                <w:sz w:val="32"/>
                <w:szCs w:val="32"/>
              </w:rPr>
              <w:t>项目验收合格后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p>
        </w:tc>
      </w:tr>
      <w:tr>
        <w:tblPrEx>
          <w:shd w:val="clear" w:color="auto" w:fill="FFFFFF"/>
          <w:tblCellMar>
            <w:top w:w="0" w:type="dxa"/>
            <w:left w:w="0" w:type="dxa"/>
            <w:bottom w:w="0" w:type="dxa"/>
            <w:right w:w="0" w:type="dxa"/>
          </w:tblCellMar>
        </w:tblPrEx>
        <w:trPr>
          <w:trHeight w:val="2580"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line="360" w:lineRule="atLeast"/>
              <w:jc w:val="center"/>
            </w:pPr>
            <w:r>
              <w:rPr>
                <w:rStyle w:val="18"/>
                <w:rFonts w:hint="eastAsia" w:ascii="宋体" w:hAnsi="宋体" w:eastAsia="宋体" w:cs="宋体"/>
                <w:bCs/>
                <w:color w:val="5A5A5A"/>
              </w:rPr>
              <w:t>备注说明</w:t>
            </w:r>
          </w:p>
        </w:tc>
        <w:tc>
          <w:tcPr>
            <w:tcW w:w="6925" w:type="dxa"/>
            <w:tcBorders>
              <w:top w:val="nil"/>
              <w:left w:val="nil"/>
              <w:bottom w:val="single" w:color="auto" w:sz="6" w:space="0"/>
              <w:right w:val="single" w:color="auto" w:sz="6" w:space="0"/>
            </w:tcBorders>
            <w:shd w:val="clear" w:color="auto" w:fill="FFFFFF"/>
            <w:tcMar>
              <w:left w:w="105" w:type="dxa"/>
              <w:right w:w="105" w:type="dxa"/>
            </w:tcMar>
          </w:tcPr>
          <w:p>
            <w:pPr>
              <w:widowControl/>
              <w:jc w:val="left"/>
              <w:rPr>
                <w:rFonts w:ascii="微软雅黑" w:hAnsi="微软雅黑" w:eastAsia="微软雅黑" w:cs="微软雅黑"/>
                <w:color w:val="5A5A5A"/>
                <w:sz w:val="24"/>
                <w:szCs w:val="24"/>
              </w:rPr>
            </w:pPr>
          </w:p>
        </w:tc>
      </w:tr>
    </w:tbl>
    <w:p>
      <w:pPr>
        <w:pStyle w:val="13"/>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13"/>
        <w:widowControl/>
        <w:shd w:val="clear" w:color="auto" w:fill="FFFFFF"/>
        <w:spacing w:before="0" w:beforeAutospacing="0" w:after="0" w:afterAutospacing="0" w:line="360" w:lineRule="atLeast"/>
        <w:rPr>
          <w:rFonts w:ascii="微软雅黑" w:hAnsi="微软雅黑" w:eastAsia="微软雅黑" w:cs="微软雅黑"/>
          <w:color w:val="5A5A5A"/>
        </w:rPr>
      </w:pPr>
      <w:r>
        <w:rPr>
          <w:rStyle w:val="18"/>
          <w:rFonts w:hint="eastAsia" w:ascii="宋体" w:hAnsi="宋体" w:eastAsia="宋体" w:cs="宋体"/>
          <w:bCs/>
          <w:color w:val="5A5A5A"/>
          <w:shd w:val="clear" w:color="auto" w:fill="FFFFFF"/>
        </w:rPr>
        <w:t>供应商公章：</w:t>
      </w:r>
    </w:p>
    <w:p>
      <w:pPr>
        <w:pStyle w:val="13"/>
        <w:widowControl/>
        <w:shd w:val="clear" w:color="auto" w:fill="FFFFFF"/>
        <w:spacing w:before="0" w:beforeAutospacing="0" w:after="0" w:afterAutospacing="0" w:line="360" w:lineRule="atLeast"/>
        <w:jc w:val="right"/>
        <w:rPr>
          <w:rFonts w:ascii="微软雅黑" w:hAnsi="微软雅黑" w:eastAsia="微软雅黑" w:cs="微软雅黑"/>
          <w:color w:val="5A5A5A"/>
        </w:rPr>
      </w:pPr>
      <w:r>
        <w:rPr>
          <w:rFonts w:hint="eastAsia" w:ascii="宋体" w:hAnsi="宋体" w:cs="宋体"/>
          <w:color w:val="5A5A5A"/>
          <w:shd w:val="clear" w:color="auto" w:fill="FFFFFF"/>
        </w:rPr>
        <w:t>年  月  日</w:t>
      </w:r>
    </w:p>
    <w:p>
      <w:pPr>
        <w:pStyle w:val="13"/>
        <w:widowControl/>
        <w:shd w:val="clear" w:color="auto" w:fill="FFFFFF"/>
        <w:spacing w:before="0" w:beforeAutospacing="0" w:after="0" w:afterAutospacing="0" w:line="360" w:lineRule="atLeast"/>
        <w:rPr>
          <w:rStyle w:val="18"/>
          <w:rFonts w:ascii="宋体" w:hAnsi="宋体" w:cs="宋体"/>
          <w:bCs/>
          <w:color w:val="5A5A5A"/>
          <w:shd w:val="clear" w:color="auto" w:fill="FFFFFF"/>
        </w:rPr>
      </w:pPr>
    </w:p>
    <w:p>
      <w:pPr>
        <w:pStyle w:val="13"/>
        <w:widowControl/>
        <w:shd w:val="clear" w:color="auto" w:fill="FFFFFF"/>
        <w:spacing w:before="0" w:beforeAutospacing="0" w:after="0" w:afterAutospacing="0" w:line="360" w:lineRule="atLeast"/>
        <w:rPr>
          <w:rFonts w:ascii="微软雅黑" w:hAnsi="微软雅黑" w:eastAsia="微软雅黑" w:cs="微软雅黑"/>
          <w:color w:val="5A5A5A"/>
        </w:rPr>
      </w:pPr>
      <w:r>
        <w:rPr>
          <w:rStyle w:val="18"/>
          <w:rFonts w:hint="eastAsia" w:ascii="宋体" w:hAnsi="宋体" w:eastAsia="宋体" w:cs="宋体"/>
          <w:bCs/>
          <w:color w:val="5A5A5A"/>
          <w:shd w:val="clear" w:color="auto" w:fill="FFFFFF"/>
        </w:rPr>
        <w:t>注：</w:t>
      </w:r>
    </w:p>
    <w:p>
      <w:pPr>
        <w:pStyle w:val="13"/>
        <w:widowControl/>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8"/>
          <w:rFonts w:hint="eastAsia" w:ascii="宋体" w:hAnsi="宋体" w:eastAsia="宋体" w:cs="宋体"/>
          <w:bCs/>
          <w:color w:val="5A5A5A"/>
          <w:shd w:val="clear" w:color="auto" w:fill="FFFFFF"/>
        </w:rPr>
        <w:t>1、本表内容根据询比文件要求包括了所有服务及其配套的所有费用。</w:t>
      </w:r>
    </w:p>
    <w:p>
      <w:pPr>
        <w:pStyle w:val="13"/>
        <w:widowControl/>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8"/>
          <w:rFonts w:hint="eastAsia" w:ascii="宋体" w:hAnsi="宋体" w:eastAsia="宋体" w:cs="宋体"/>
          <w:bCs/>
          <w:color w:val="5A5A5A"/>
          <w:shd w:val="clear" w:color="auto" w:fill="FFFFFF"/>
        </w:rPr>
        <w:t>2、特殊事项在备注中注明。</w:t>
      </w:r>
    </w:p>
    <w:p>
      <w:pPr>
        <w:pStyle w:val="13"/>
        <w:widowControl/>
        <w:shd w:val="clear" w:color="auto" w:fill="FFFFFF"/>
        <w:spacing w:before="120" w:beforeAutospacing="0" w:after="120" w:afterAutospacing="0" w:line="360" w:lineRule="atLeast"/>
        <w:rPr>
          <w:rFonts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spacing w:line="360" w:lineRule="auto"/>
        <w:jc w:val="center"/>
        <w:rPr>
          <w:rFonts w:ascii="宋体" w:hAnsi="宋体" w:cs="宋体"/>
          <w:b/>
          <w:bCs/>
          <w:sz w:val="32"/>
          <w:szCs w:val="32"/>
        </w:rPr>
      </w:pPr>
      <w:r>
        <w:rPr>
          <w:rFonts w:hint="eastAsia" w:ascii="仿宋" w:hAnsi="仿宋" w:eastAsia="仿宋" w:cs="仿宋"/>
          <w:b/>
          <w:bCs/>
          <w:color w:val="5A5A5A"/>
          <w:sz w:val="32"/>
          <w:szCs w:val="32"/>
        </w:rPr>
        <w:br w:type="page"/>
      </w:r>
      <w:r>
        <w:rPr>
          <w:rFonts w:hint="eastAsia" w:ascii="宋体" w:hAnsi="宋体" w:cs="宋体"/>
          <w:b/>
          <w:bCs/>
          <w:sz w:val="28"/>
          <w:szCs w:val="28"/>
        </w:rPr>
        <w:t>分项报价表</w:t>
      </w:r>
    </w:p>
    <w:tbl>
      <w:tblPr>
        <w:tblStyle w:val="15"/>
        <w:tblW w:w="96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315"/>
        <w:gridCol w:w="957"/>
        <w:gridCol w:w="840"/>
        <w:gridCol w:w="1260"/>
        <w:gridCol w:w="1340"/>
        <w:gridCol w:w="21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819" w:type="dxa"/>
            <w:vAlign w:val="center"/>
          </w:tcPr>
          <w:p>
            <w:pPr>
              <w:pStyle w:val="34"/>
              <w:widowControl w:val="0"/>
              <w:spacing w:before="0" w:beforeAutospacing="0" w:after="0" w:afterAutospacing="0"/>
              <w:rPr>
                <w:rFonts w:cs="宋体"/>
                <w:bCs w:val="0"/>
                <w:kern w:val="2"/>
                <w:sz w:val="24"/>
                <w:szCs w:val="20"/>
              </w:rPr>
            </w:pPr>
            <w:r>
              <w:rPr>
                <w:rFonts w:hint="eastAsia" w:cs="宋体"/>
                <w:bCs w:val="0"/>
                <w:kern w:val="2"/>
                <w:sz w:val="24"/>
                <w:szCs w:val="20"/>
              </w:rPr>
              <w:t>序号</w:t>
            </w:r>
          </w:p>
        </w:tc>
        <w:tc>
          <w:tcPr>
            <w:tcW w:w="2315" w:type="dxa"/>
            <w:vAlign w:val="center"/>
          </w:tcPr>
          <w:p>
            <w:pPr>
              <w:jc w:val="center"/>
              <w:rPr>
                <w:rFonts w:ascii="宋体" w:hAnsi="宋体" w:cs="宋体"/>
                <w:b/>
                <w:sz w:val="24"/>
              </w:rPr>
            </w:pPr>
            <w:r>
              <w:rPr>
                <w:rFonts w:hint="eastAsia" w:ascii="宋体" w:hAnsi="宋体" w:cs="宋体"/>
                <w:b/>
                <w:sz w:val="24"/>
              </w:rPr>
              <w:t>品名、品牌、规格、型号、材质、原产地及生产厂家</w:t>
            </w:r>
          </w:p>
        </w:tc>
        <w:tc>
          <w:tcPr>
            <w:tcW w:w="957" w:type="dxa"/>
            <w:vAlign w:val="center"/>
          </w:tcPr>
          <w:p>
            <w:pPr>
              <w:jc w:val="center"/>
              <w:rPr>
                <w:rFonts w:ascii="宋体" w:hAnsi="宋体" w:cs="宋体"/>
                <w:b/>
                <w:sz w:val="24"/>
              </w:rPr>
            </w:pPr>
            <w:r>
              <w:rPr>
                <w:rFonts w:hint="eastAsia" w:ascii="宋体" w:hAnsi="宋体" w:cs="宋体"/>
                <w:b/>
                <w:sz w:val="24"/>
              </w:rPr>
              <w:t>单位</w:t>
            </w:r>
          </w:p>
        </w:tc>
        <w:tc>
          <w:tcPr>
            <w:tcW w:w="840" w:type="dxa"/>
            <w:vAlign w:val="center"/>
          </w:tcPr>
          <w:p>
            <w:pPr>
              <w:jc w:val="center"/>
              <w:rPr>
                <w:rFonts w:ascii="宋体" w:hAnsi="宋体" w:cs="宋体"/>
                <w:b/>
                <w:sz w:val="24"/>
              </w:rPr>
            </w:pPr>
            <w:r>
              <w:rPr>
                <w:rFonts w:hint="eastAsia" w:ascii="宋体" w:hAnsi="宋体" w:cs="宋体"/>
                <w:b/>
                <w:sz w:val="24"/>
              </w:rPr>
              <w:t>数量</w:t>
            </w:r>
          </w:p>
        </w:tc>
        <w:tc>
          <w:tcPr>
            <w:tcW w:w="1260" w:type="dxa"/>
            <w:vAlign w:val="center"/>
          </w:tcPr>
          <w:p>
            <w:pPr>
              <w:jc w:val="center"/>
              <w:rPr>
                <w:rFonts w:ascii="宋体" w:hAnsi="宋体" w:cs="宋体"/>
                <w:b/>
                <w:sz w:val="24"/>
              </w:rPr>
            </w:pPr>
            <w:r>
              <w:rPr>
                <w:rFonts w:hint="eastAsia" w:ascii="宋体" w:hAnsi="宋体" w:cs="宋体"/>
                <w:b/>
                <w:sz w:val="24"/>
              </w:rPr>
              <w:t>单价</w:t>
            </w:r>
          </w:p>
        </w:tc>
        <w:tc>
          <w:tcPr>
            <w:tcW w:w="1340" w:type="dxa"/>
            <w:vAlign w:val="center"/>
          </w:tcPr>
          <w:p>
            <w:pPr>
              <w:jc w:val="center"/>
              <w:rPr>
                <w:rFonts w:ascii="宋体" w:hAnsi="宋体" w:cs="宋体"/>
                <w:b/>
                <w:sz w:val="24"/>
              </w:rPr>
            </w:pPr>
            <w:r>
              <w:rPr>
                <w:rFonts w:hint="eastAsia" w:ascii="宋体" w:hAnsi="宋体" w:cs="宋体"/>
                <w:b/>
                <w:sz w:val="24"/>
              </w:rPr>
              <w:t>小计</w:t>
            </w:r>
          </w:p>
        </w:tc>
        <w:tc>
          <w:tcPr>
            <w:tcW w:w="2120" w:type="dxa"/>
            <w:vAlign w:val="center"/>
          </w:tcPr>
          <w:p>
            <w:pPr>
              <w:jc w:val="center"/>
              <w:rPr>
                <w:rFonts w:ascii="宋体" w:hAnsi="宋体" w:cs="宋体"/>
                <w:b/>
                <w:sz w:val="24"/>
              </w:rPr>
            </w:pPr>
            <w:r>
              <w:rPr>
                <w:rFonts w:hint="eastAsia" w:ascii="宋体" w:hAnsi="宋体" w:cs="宋体"/>
                <w:b/>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r>
              <w:rPr>
                <w:rFonts w:hint="eastAsia" w:ascii="宋体" w:hAnsi="宋体" w:cs="宋体"/>
                <w:sz w:val="24"/>
              </w:rPr>
              <w:t>1</w:t>
            </w:r>
          </w:p>
        </w:tc>
        <w:tc>
          <w:tcPr>
            <w:tcW w:w="2315" w:type="dxa"/>
            <w:vAlign w:val="center"/>
          </w:tcPr>
          <w:p>
            <w:pPr>
              <w:jc w:val="center"/>
              <w:rPr>
                <w:rFonts w:ascii="宋体" w:hAnsi="宋体" w:cs="宋体"/>
                <w:sz w:val="24"/>
              </w:rPr>
            </w:pPr>
            <w:r>
              <w:rPr>
                <w:rFonts w:ascii="仿宋_GB2312" w:hAnsi="仿宋_GB2312" w:eastAsia="仿宋_GB2312" w:cs="仿宋_GB2312"/>
                <w:sz w:val="24"/>
              </w:rPr>
              <w:t>VPN</w:t>
            </w:r>
            <w:r>
              <w:rPr>
                <w:rFonts w:hint="eastAsia" w:ascii="仿宋_GB2312" w:hAnsi="仿宋_GB2312" w:eastAsia="仿宋_GB2312" w:cs="仿宋_GB2312"/>
                <w:sz w:val="24"/>
              </w:rPr>
              <w:t>网关</w:t>
            </w:r>
          </w:p>
        </w:tc>
        <w:tc>
          <w:tcPr>
            <w:tcW w:w="957" w:type="dxa"/>
          </w:tcPr>
          <w:p>
            <w:pPr>
              <w:rPr>
                <w:rFonts w:ascii="宋体" w:hAnsi="宋体" w:cs="宋体"/>
                <w:sz w:val="24"/>
              </w:rPr>
            </w:pPr>
          </w:p>
        </w:tc>
        <w:tc>
          <w:tcPr>
            <w:tcW w:w="840" w:type="dxa"/>
          </w:tcPr>
          <w:p>
            <w:pPr>
              <w:jc w:val="center"/>
              <w:rPr>
                <w:rFonts w:ascii="宋体" w:hAnsi="宋体" w:cs="宋体"/>
                <w:sz w:val="24"/>
              </w:rPr>
            </w:pPr>
            <w:r>
              <w:rPr>
                <w:rFonts w:hint="eastAsia" w:ascii="宋体" w:hAnsi="宋体" w:cs="宋体"/>
                <w:sz w:val="24"/>
              </w:rPr>
              <w:t>1</w:t>
            </w: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819" w:type="dxa"/>
          </w:tcPr>
          <w:p>
            <w:pPr>
              <w:jc w:val="center"/>
              <w:rPr>
                <w:rFonts w:ascii="宋体" w:hAnsi="宋体" w:cs="宋体"/>
                <w:sz w:val="24"/>
              </w:rPr>
            </w:pPr>
            <w:r>
              <w:rPr>
                <w:rFonts w:hint="eastAsia" w:ascii="宋体" w:hAnsi="宋体" w:cs="宋体"/>
                <w:sz w:val="24"/>
              </w:rPr>
              <w:t>2</w:t>
            </w:r>
          </w:p>
        </w:tc>
        <w:tc>
          <w:tcPr>
            <w:tcW w:w="2315" w:type="dxa"/>
            <w:vAlign w:val="center"/>
          </w:tcPr>
          <w:p>
            <w:pPr>
              <w:jc w:val="center"/>
              <w:rPr>
                <w:rFonts w:ascii="宋体" w:hAnsi="宋体" w:cs="宋体"/>
                <w:sz w:val="24"/>
              </w:rPr>
            </w:pPr>
            <w:r>
              <w:rPr>
                <w:rFonts w:hint="eastAsia" w:ascii="仿宋_GB2312" w:hAnsi="仿宋_GB2312" w:eastAsia="仿宋_GB2312" w:cs="仿宋_GB2312"/>
                <w:sz w:val="24"/>
              </w:rPr>
              <w:t>数据备份系统</w:t>
            </w:r>
          </w:p>
        </w:tc>
        <w:tc>
          <w:tcPr>
            <w:tcW w:w="957" w:type="dxa"/>
          </w:tcPr>
          <w:p>
            <w:pPr>
              <w:rPr>
                <w:rFonts w:ascii="宋体" w:hAnsi="宋体" w:cs="宋体"/>
                <w:sz w:val="24"/>
              </w:rPr>
            </w:pPr>
          </w:p>
        </w:tc>
        <w:tc>
          <w:tcPr>
            <w:tcW w:w="840" w:type="dxa"/>
          </w:tcPr>
          <w:p>
            <w:pPr>
              <w:jc w:val="center"/>
              <w:rPr>
                <w:rFonts w:ascii="宋体" w:hAnsi="宋体" w:cs="宋体"/>
                <w:sz w:val="24"/>
              </w:rPr>
            </w:pPr>
            <w:r>
              <w:rPr>
                <w:rFonts w:hint="eastAsia" w:ascii="宋体" w:hAnsi="宋体" w:cs="宋体"/>
                <w:sz w:val="24"/>
              </w:rPr>
              <w:t>1</w:t>
            </w: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r>
              <w:rPr>
                <w:rFonts w:hint="eastAsia" w:ascii="宋体" w:hAnsi="宋体" w:cs="宋体"/>
                <w:sz w:val="24"/>
              </w:rPr>
              <w:t>3</w:t>
            </w:r>
          </w:p>
        </w:tc>
        <w:tc>
          <w:tcPr>
            <w:tcW w:w="2315" w:type="dxa"/>
            <w:vAlign w:val="center"/>
          </w:tcPr>
          <w:p>
            <w:pPr>
              <w:jc w:val="center"/>
              <w:rPr>
                <w:rFonts w:ascii="宋体" w:hAnsi="宋体" w:cs="宋体"/>
                <w:sz w:val="24"/>
              </w:rPr>
            </w:pPr>
            <w:r>
              <w:rPr>
                <w:rFonts w:hint="eastAsia" w:ascii="仿宋_GB2312" w:hAnsi="仿宋_GB2312" w:eastAsia="仿宋_GB2312" w:cs="仿宋_GB2312"/>
                <w:sz w:val="24"/>
              </w:rPr>
              <w:t>华为服务器扩展硬盘</w:t>
            </w:r>
          </w:p>
        </w:tc>
        <w:tc>
          <w:tcPr>
            <w:tcW w:w="957" w:type="dxa"/>
          </w:tcPr>
          <w:p>
            <w:pPr>
              <w:rPr>
                <w:rFonts w:ascii="宋体" w:hAnsi="宋体" w:cs="宋体"/>
                <w:sz w:val="24"/>
              </w:rPr>
            </w:pPr>
          </w:p>
        </w:tc>
        <w:tc>
          <w:tcPr>
            <w:tcW w:w="840" w:type="dxa"/>
          </w:tcPr>
          <w:p>
            <w:pPr>
              <w:jc w:val="center"/>
              <w:rPr>
                <w:rFonts w:ascii="宋体" w:hAnsi="宋体" w:cs="宋体"/>
                <w:sz w:val="24"/>
              </w:rPr>
            </w:pPr>
            <w:r>
              <w:rPr>
                <w:rFonts w:hint="eastAsia" w:ascii="宋体" w:hAnsi="宋体" w:cs="宋体"/>
                <w:sz w:val="24"/>
              </w:rPr>
              <w:t>4</w:t>
            </w: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p>
        </w:tc>
        <w:tc>
          <w:tcPr>
            <w:tcW w:w="2315" w:type="dxa"/>
            <w:vAlign w:val="center"/>
          </w:tcPr>
          <w:p>
            <w:pPr>
              <w:pStyle w:val="33"/>
              <w:rPr>
                <w:rFonts w:ascii="宋体" w:hAnsi="宋体" w:cs="宋体"/>
              </w:rPr>
            </w:pPr>
            <w:r>
              <w:rPr>
                <w:rFonts w:hint="eastAsia" w:ascii="宋体" w:hAnsi="宋体" w:cs="宋体"/>
              </w:rPr>
              <w:t>其他费用</w:t>
            </w:r>
          </w:p>
        </w:tc>
        <w:tc>
          <w:tcPr>
            <w:tcW w:w="957" w:type="dxa"/>
          </w:tcPr>
          <w:p>
            <w:pPr>
              <w:rPr>
                <w:rFonts w:ascii="宋体" w:hAnsi="宋体" w:cs="宋体"/>
                <w:sz w:val="24"/>
              </w:rPr>
            </w:pPr>
          </w:p>
        </w:tc>
        <w:tc>
          <w:tcPr>
            <w:tcW w:w="840" w:type="dxa"/>
          </w:tcPr>
          <w:p>
            <w:pPr>
              <w:rPr>
                <w:rFonts w:ascii="宋体" w:hAnsi="宋体" w:cs="宋体"/>
                <w:sz w:val="24"/>
              </w:rPr>
            </w:pP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p>
        </w:tc>
        <w:tc>
          <w:tcPr>
            <w:tcW w:w="2315" w:type="dxa"/>
          </w:tcPr>
          <w:p>
            <w:pPr>
              <w:rPr>
                <w:rFonts w:ascii="宋体" w:hAnsi="宋体" w:cs="宋体"/>
                <w:sz w:val="24"/>
              </w:rPr>
            </w:pPr>
            <w:r>
              <w:rPr>
                <w:rFonts w:hint="eastAsia" w:ascii="宋体" w:hAnsi="宋体" w:cs="宋体"/>
                <w:sz w:val="24"/>
              </w:rPr>
              <w:t>…</w:t>
            </w:r>
          </w:p>
        </w:tc>
        <w:tc>
          <w:tcPr>
            <w:tcW w:w="957" w:type="dxa"/>
          </w:tcPr>
          <w:p>
            <w:pPr>
              <w:rPr>
                <w:rFonts w:ascii="宋体" w:hAnsi="宋体" w:cs="宋体"/>
                <w:sz w:val="24"/>
              </w:rPr>
            </w:pPr>
          </w:p>
        </w:tc>
        <w:tc>
          <w:tcPr>
            <w:tcW w:w="840" w:type="dxa"/>
          </w:tcPr>
          <w:p>
            <w:pPr>
              <w:rPr>
                <w:rFonts w:ascii="宋体" w:hAnsi="宋体" w:cs="宋体"/>
                <w:sz w:val="24"/>
              </w:rPr>
            </w:pP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p>
        </w:tc>
        <w:tc>
          <w:tcPr>
            <w:tcW w:w="2315" w:type="dxa"/>
          </w:tcPr>
          <w:p>
            <w:pPr>
              <w:pStyle w:val="33"/>
              <w:rPr>
                <w:rFonts w:ascii="宋体" w:hAnsi="宋体" w:cs="宋体"/>
              </w:rPr>
            </w:pPr>
            <w:r>
              <w:rPr>
                <w:rFonts w:hint="eastAsia" w:ascii="宋体" w:hAnsi="宋体" w:cs="宋体"/>
              </w:rPr>
              <w:t>…</w:t>
            </w:r>
          </w:p>
        </w:tc>
        <w:tc>
          <w:tcPr>
            <w:tcW w:w="957" w:type="dxa"/>
          </w:tcPr>
          <w:p>
            <w:pPr>
              <w:rPr>
                <w:rFonts w:ascii="宋体" w:hAnsi="宋体" w:cs="宋体"/>
                <w:sz w:val="24"/>
              </w:rPr>
            </w:pPr>
          </w:p>
        </w:tc>
        <w:tc>
          <w:tcPr>
            <w:tcW w:w="840" w:type="dxa"/>
          </w:tcPr>
          <w:p>
            <w:pPr>
              <w:rPr>
                <w:rFonts w:ascii="宋体" w:hAnsi="宋体" w:cs="宋体"/>
                <w:sz w:val="24"/>
              </w:rPr>
            </w:pP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p>
        </w:tc>
        <w:tc>
          <w:tcPr>
            <w:tcW w:w="2315" w:type="dxa"/>
          </w:tcPr>
          <w:p>
            <w:pPr>
              <w:rPr>
                <w:rFonts w:ascii="宋体" w:hAnsi="宋体" w:cs="宋体"/>
                <w:sz w:val="24"/>
              </w:rPr>
            </w:pPr>
            <w:r>
              <w:rPr>
                <w:rFonts w:hint="eastAsia" w:ascii="宋体" w:hAnsi="宋体" w:cs="宋体"/>
                <w:sz w:val="24"/>
              </w:rPr>
              <w:t>…</w:t>
            </w:r>
          </w:p>
        </w:tc>
        <w:tc>
          <w:tcPr>
            <w:tcW w:w="957" w:type="dxa"/>
          </w:tcPr>
          <w:p>
            <w:pPr>
              <w:rPr>
                <w:rFonts w:ascii="宋体" w:hAnsi="宋体" w:cs="宋体"/>
                <w:sz w:val="24"/>
              </w:rPr>
            </w:pPr>
          </w:p>
        </w:tc>
        <w:tc>
          <w:tcPr>
            <w:tcW w:w="840" w:type="dxa"/>
          </w:tcPr>
          <w:p>
            <w:pPr>
              <w:rPr>
                <w:rFonts w:ascii="宋体" w:hAnsi="宋体" w:cs="宋体"/>
                <w:sz w:val="24"/>
              </w:rPr>
            </w:pP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19" w:type="dxa"/>
          </w:tcPr>
          <w:p>
            <w:pPr>
              <w:jc w:val="center"/>
              <w:rPr>
                <w:rFonts w:ascii="宋体" w:hAnsi="宋体" w:cs="宋体"/>
                <w:sz w:val="24"/>
              </w:rPr>
            </w:pPr>
          </w:p>
        </w:tc>
        <w:tc>
          <w:tcPr>
            <w:tcW w:w="2315" w:type="dxa"/>
            <w:vAlign w:val="center"/>
          </w:tcPr>
          <w:p>
            <w:pPr>
              <w:pStyle w:val="33"/>
              <w:rPr>
                <w:rFonts w:ascii="宋体" w:hAnsi="宋体" w:cs="宋体"/>
              </w:rPr>
            </w:pPr>
            <w:r>
              <w:rPr>
                <w:rFonts w:hint="eastAsia" w:ascii="宋体" w:hAnsi="宋体" w:cs="宋体"/>
              </w:rPr>
              <w:t>合计</w:t>
            </w:r>
          </w:p>
        </w:tc>
        <w:tc>
          <w:tcPr>
            <w:tcW w:w="957" w:type="dxa"/>
          </w:tcPr>
          <w:p>
            <w:pPr>
              <w:rPr>
                <w:rFonts w:ascii="宋体" w:hAnsi="宋体" w:cs="宋体"/>
                <w:sz w:val="24"/>
              </w:rPr>
            </w:pPr>
          </w:p>
        </w:tc>
        <w:tc>
          <w:tcPr>
            <w:tcW w:w="840" w:type="dxa"/>
          </w:tcPr>
          <w:p>
            <w:pPr>
              <w:rPr>
                <w:rFonts w:ascii="宋体" w:hAnsi="宋体" w:cs="宋体"/>
                <w:sz w:val="24"/>
              </w:rPr>
            </w:pPr>
          </w:p>
        </w:tc>
        <w:tc>
          <w:tcPr>
            <w:tcW w:w="1260" w:type="dxa"/>
          </w:tcPr>
          <w:p>
            <w:pPr>
              <w:rPr>
                <w:rFonts w:ascii="宋体" w:hAnsi="宋体" w:cs="宋体"/>
                <w:sz w:val="24"/>
              </w:rPr>
            </w:pPr>
          </w:p>
        </w:tc>
        <w:tc>
          <w:tcPr>
            <w:tcW w:w="1340" w:type="dxa"/>
          </w:tcPr>
          <w:p>
            <w:pPr>
              <w:rPr>
                <w:rFonts w:ascii="宋体" w:hAnsi="宋体" w:cs="宋体"/>
                <w:sz w:val="24"/>
              </w:rPr>
            </w:pPr>
          </w:p>
        </w:tc>
        <w:tc>
          <w:tcPr>
            <w:tcW w:w="2120" w:type="dxa"/>
          </w:tcPr>
          <w:p>
            <w:pPr>
              <w:rPr>
                <w:rFonts w:ascii="宋体" w:hAnsi="宋体" w:cs="宋体"/>
                <w:sz w:val="24"/>
              </w:rPr>
            </w:pPr>
          </w:p>
        </w:tc>
      </w:tr>
    </w:tbl>
    <w:p>
      <w:pPr>
        <w:rPr>
          <w:rFonts w:ascii="宋体" w:hAnsi="宋体" w:cs="宋体"/>
          <w:bCs/>
          <w:sz w:val="32"/>
          <w:szCs w:val="32"/>
        </w:rPr>
      </w:pPr>
    </w:p>
    <w:p>
      <w:pPr>
        <w:pStyle w:val="33"/>
        <w:rPr>
          <w:rFonts w:ascii="宋体" w:hAnsi="宋体" w:cs="宋体"/>
        </w:rPr>
      </w:pPr>
      <w:r>
        <w:rPr>
          <w:rFonts w:hint="eastAsia" w:ascii="宋体" w:hAnsi="宋体" w:cs="宋体"/>
        </w:rPr>
        <w:t>供应商公章：</w:t>
      </w:r>
    </w:p>
    <w:p>
      <w:pPr>
        <w:pStyle w:val="33"/>
        <w:rPr>
          <w:rFonts w:ascii="宋体" w:hAnsi="宋体" w:cs="宋体"/>
        </w:rPr>
      </w:pPr>
    </w:p>
    <w:p>
      <w:pPr>
        <w:pStyle w:val="33"/>
        <w:rPr>
          <w:rFonts w:ascii="宋体" w:hAnsi="宋体" w:cs="宋体"/>
        </w:rPr>
      </w:pPr>
    </w:p>
    <w:p>
      <w:pPr>
        <w:pStyle w:val="33"/>
        <w:rPr>
          <w:rFonts w:ascii="宋体" w:hAnsi="宋体" w:cs="宋体"/>
        </w:rPr>
      </w:pPr>
      <w:r>
        <w:rPr>
          <w:rFonts w:hint="eastAsia" w:ascii="宋体" w:hAnsi="宋体" w:cs="宋体"/>
        </w:rPr>
        <w:t>备注：</w:t>
      </w:r>
    </w:p>
    <w:p>
      <w:pPr>
        <w:pStyle w:val="33"/>
        <w:rPr>
          <w:rFonts w:ascii="宋体" w:hAnsi="宋体" w:cs="宋体"/>
        </w:rPr>
      </w:pPr>
      <w:r>
        <w:rPr>
          <w:rFonts w:hint="eastAsia" w:ascii="宋体" w:hAnsi="宋体" w:cs="宋体"/>
        </w:rPr>
        <w:t>1. 表中所列货物为对应本项目需求的全部货物。如有漏项或缺项，供应商承担全部责任。</w:t>
      </w:r>
    </w:p>
    <w:p>
      <w:pPr>
        <w:pStyle w:val="33"/>
        <w:rPr>
          <w:rFonts w:ascii="宋体" w:hAnsi="宋体" w:cs="宋体"/>
        </w:rPr>
      </w:pPr>
      <w:r>
        <w:rPr>
          <w:rFonts w:hint="eastAsia" w:ascii="宋体" w:hAnsi="宋体" w:cs="宋体"/>
        </w:rPr>
        <w:t>2. 表中须明确列出参选产品的品名、品牌、规格、型号、材质、原产地及生产厂家，否则响应无效。</w:t>
      </w:r>
    </w:p>
    <w:p>
      <w:pPr>
        <w:pStyle w:val="33"/>
        <w:rPr>
          <w:rFonts w:ascii="宋体" w:hAnsi="宋体" w:cs="宋体"/>
        </w:rPr>
      </w:pPr>
      <w:r>
        <w:rPr>
          <w:rFonts w:hint="eastAsia" w:ascii="宋体" w:hAnsi="宋体" w:cs="宋体"/>
        </w:rPr>
        <w:t>3. 本表中的价格均包含增值税。</w:t>
      </w:r>
    </w:p>
    <w:p>
      <w:pPr>
        <w:rPr>
          <w:rFonts w:ascii="宋体" w:hAnsi="宋体" w:cs="宋体"/>
          <w:b/>
          <w:bCs/>
          <w:sz w:val="32"/>
          <w:szCs w:val="32"/>
        </w:rPr>
      </w:pPr>
    </w:p>
    <w:p>
      <w:pPr>
        <w:rPr>
          <w:rFonts w:ascii="仿宋" w:hAnsi="仿宋" w:eastAsia="仿宋" w:cs="仿宋"/>
          <w:b/>
          <w:bCs/>
          <w:color w:val="5A5A5A"/>
          <w:sz w:val="32"/>
          <w:szCs w:val="32"/>
        </w:rPr>
      </w:pPr>
    </w:p>
    <w:p>
      <w:pPr>
        <w:rPr>
          <w:rFonts w:ascii="仿宋" w:hAnsi="仿宋" w:eastAsia="仿宋" w:cs="仿宋"/>
          <w:b/>
          <w:bCs/>
          <w:color w:val="5A5A5A"/>
          <w:sz w:val="32"/>
          <w:szCs w:val="32"/>
        </w:rPr>
      </w:pPr>
      <w:r>
        <w:rPr>
          <w:rFonts w:hint="eastAsia" w:ascii="仿宋" w:hAnsi="仿宋" w:eastAsia="仿宋" w:cs="仿宋"/>
          <w:b/>
          <w:bCs/>
          <w:color w:val="5A5A5A"/>
          <w:sz w:val="32"/>
          <w:szCs w:val="32"/>
        </w:rPr>
        <w:br w:type="page"/>
      </w:r>
    </w:p>
    <w:p>
      <w:pPr>
        <w:rPr>
          <w:rFonts w:ascii="仿宋" w:hAnsi="仿宋" w:eastAsia="仿宋" w:cs="仿宋"/>
          <w:b/>
          <w:bCs/>
          <w:color w:val="5A5A5A"/>
          <w:sz w:val="32"/>
          <w:szCs w:val="32"/>
        </w:rPr>
      </w:pPr>
      <w:r>
        <w:rPr>
          <w:rFonts w:hint="eastAsia" w:ascii="仿宋" w:hAnsi="仿宋" w:eastAsia="仿宋" w:cs="仿宋"/>
          <w:b/>
          <w:bCs/>
          <w:color w:val="5A5A5A"/>
          <w:sz w:val="32"/>
          <w:szCs w:val="32"/>
        </w:rPr>
        <w:t>附件二</w:t>
      </w:r>
    </w:p>
    <w:p>
      <w:pPr>
        <w:pStyle w:val="13"/>
        <w:widowControl/>
        <w:shd w:val="clear" w:color="auto" w:fill="FFFFFF"/>
        <w:spacing w:before="0" w:beforeAutospacing="0" w:after="120" w:afterAutospacing="0" w:line="360" w:lineRule="atLeast"/>
        <w:jc w:val="center"/>
        <w:rPr>
          <w:rFonts w:ascii="微软雅黑" w:hAnsi="微软雅黑" w:eastAsia="微软雅黑" w:cs="微软雅黑"/>
          <w:color w:val="5A5A5A"/>
        </w:rPr>
      </w:pPr>
      <w:r>
        <w:rPr>
          <w:rStyle w:val="18"/>
          <w:rFonts w:hint="eastAsia" w:ascii="宋体" w:hAnsi="宋体" w:eastAsia="宋体" w:cs="宋体"/>
          <w:bCs/>
          <w:color w:val="5A5A5A"/>
          <w:shd w:val="clear" w:color="auto" w:fill="FFFFFF"/>
        </w:rPr>
        <w:t>供应商综合情况简介</w:t>
      </w:r>
    </w:p>
    <w:tbl>
      <w:tblPr>
        <w:tblStyle w:val="15"/>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jc w:val="center"/>
            </w:pPr>
            <w:r>
              <w:rPr>
                <w:rStyle w:val="18"/>
                <w:rFonts w:hint="eastAsia" w:ascii="宋体" w:hAnsi="宋体" w:eastAsia="宋体" w:cs="宋体"/>
                <w:bCs/>
                <w:color w:val="5A5A5A"/>
                <w:sz w:val="28"/>
                <w:szCs w:val="28"/>
              </w:rPr>
              <w:t>供应商信息表</w:t>
            </w:r>
          </w:p>
        </w:tc>
      </w:tr>
      <w:tr>
        <w:tblPrEx>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项目名称：</w:t>
            </w:r>
          </w:p>
        </w:tc>
      </w:tr>
      <w:tr>
        <w:tblPrEx>
          <w:tblCellMar>
            <w:top w:w="0" w:type="dxa"/>
            <w:left w:w="0" w:type="dxa"/>
            <w:bottom w:w="0" w:type="dxa"/>
            <w:right w:w="0" w:type="dxa"/>
          </w:tblCellMar>
        </w:tblPrEx>
        <w:trPr>
          <w:trHeight w:val="1025" w:hRule="atLeast"/>
        </w:trPr>
        <w:tc>
          <w:tcPr>
            <w:tcW w:w="8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jc w:val="center"/>
            </w:pPr>
            <w:r>
              <w:rPr>
                <w:rFonts w:hint="eastAsia" w:ascii="宋体" w:hAnsi="宋体" w:cs="宋体"/>
                <w:color w:val="5A5A5A"/>
              </w:rPr>
              <w:t>项目信息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企业全称</w:t>
            </w:r>
          </w:p>
        </w:tc>
        <w:tc>
          <w:tcPr>
            <w:tcW w:w="5925"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jc w:val="center"/>
            </w:pPr>
            <w:r>
              <w:rPr>
                <w:rFonts w:hint="eastAsia" w:ascii="宋体" w:hAnsi="宋体" w:cs="宋体"/>
                <w:color w:val="5A5A5A"/>
              </w:rPr>
              <w:t>企业基本信息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公司地址</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联系人及联系电话</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分支机构分类</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企业规模</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注册资本</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总资产</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企业性质</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所属产业</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所属行业</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是否特殊企业</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就业人数</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残疾人等特殊群体人数</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jc w:val="center"/>
            </w:pPr>
            <w:r>
              <w:rPr>
                <w:rFonts w:hint="eastAsia" w:ascii="宋体" w:hAnsi="宋体" w:cs="宋体"/>
                <w:color w:val="5A5A5A"/>
              </w:rPr>
              <w:t>上年收入缴费等信息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上年营业收入</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上年利润总额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上年政府采购合同总金额</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上年缴税总额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其中增值税</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其中营业税</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其中所得税</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上年缴纳社会保险总额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其中缴纳养老保险</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其中缴纳医疗保险</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szCs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Fonts w:hint="eastAsia" w:ascii="宋体" w:hAnsi="宋体" w:cs="宋体"/>
                <w:color w:val="5A5A5A"/>
              </w:rPr>
              <w:t>其中缴纳失业保险</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13"/>
              <w:widowControl/>
              <w:spacing w:before="0" w:beforeAutospacing="0" w:after="0" w:afterAutospacing="0"/>
            </w:pPr>
            <w:r>
              <w:rPr>
                <w:rStyle w:val="18"/>
                <w:rFonts w:hint="eastAsia" w:ascii="宋体" w:hAnsi="宋体" w:eastAsia="宋体" w:cs="宋体"/>
                <w:bCs/>
                <w:color w:val="5A5A5A"/>
              </w:rPr>
              <w:t>上年缴纳住房公积金总额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szCs w:val="24"/>
              </w:rPr>
            </w:pPr>
          </w:p>
        </w:tc>
      </w:tr>
      <w:tr>
        <w:tblPrEx>
          <w:shd w:val="clear" w:color="auto" w:fill="FFFFFF"/>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13"/>
              <w:widowControl/>
              <w:spacing w:before="0" w:beforeAutospacing="0" w:after="0" w:afterAutospacing="0"/>
              <w:jc w:val="center"/>
            </w:pPr>
            <w:r>
              <w:rPr>
                <w:rFonts w:hint="eastAsia" w:ascii="微软雅黑" w:hAnsi="微软雅黑" w:eastAsia="微软雅黑" w:cs="微软雅黑"/>
                <w:color w:val="5A5A5A"/>
              </w:rPr>
              <w:t> </w:t>
            </w:r>
          </w:p>
          <w:p>
            <w:pPr>
              <w:pStyle w:val="13"/>
              <w:widowControl/>
              <w:spacing w:before="0" w:beforeAutospacing="0" w:after="0" w:afterAutospacing="0"/>
            </w:pPr>
            <w:r>
              <w:rPr>
                <w:rFonts w:hint="eastAsia" w:ascii="宋体" w:hAnsi="宋体" w:cs="宋体"/>
                <w:color w:val="5A5A5A"/>
              </w:rPr>
              <w:t>供应商公章：</w:t>
            </w:r>
          </w:p>
          <w:p>
            <w:pPr>
              <w:pStyle w:val="13"/>
              <w:widowControl/>
              <w:spacing w:before="0" w:beforeAutospacing="0" w:after="0" w:afterAutospacing="0"/>
              <w:jc w:val="center"/>
            </w:pPr>
            <w:r>
              <w:rPr>
                <w:rFonts w:hint="eastAsia" w:ascii="微软雅黑" w:hAnsi="微软雅黑" w:eastAsia="微软雅黑" w:cs="微软雅黑"/>
                <w:color w:val="5A5A5A"/>
              </w:rPr>
              <w:t> </w:t>
            </w:r>
          </w:p>
          <w:p>
            <w:pPr>
              <w:pStyle w:val="13"/>
              <w:widowControl/>
              <w:spacing w:before="0" w:beforeAutospacing="0" w:after="0" w:afterAutospacing="0"/>
              <w:jc w:val="center"/>
            </w:pPr>
            <w:r>
              <w:rPr>
                <w:rFonts w:hint="eastAsia" w:ascii="宋体" w:hAnsi="宋体" w:cs="宋体"/>
                <w:color w:val="5A5A5A"/>
              </w:rPr>
              <w:t>填表日期：   年  月  日</w:t>
            </w:r>
          </w:p>
        </w:tc>
      </w:tr>
    </w:tbl>
    <w:p>
      <w:pPr>
        <w:pStyle w:val="13"/>
        <w:widowControl/>
        <w:shd w:val="clear" w:color="auto" w:fill="FFFFFF"/>
        <w:spacing w:before="0" w:beforeAutospacing="0" w:after="0" w:afterAutospacing="0"/>
        <w:rPr>
          <w:rFonts w:ascii="微软雅黑" w:hAnsi="微软雅黑" w:eastAsia="微软雅黑" w:cs="微软雅黑"/>
          <w:color w:val="5A5A5A"/>
          <w:shd w:val="clear" w:color="auto" w:fill="FFFFFF"/>
        </w:rPr>
      </w:pPr>
      <w:r>
        <w:rPr>
          <w:rFonts w:hint="eastAsia" w:ascii="微软雅黑" w:hAnsi="微软雅黑" w:eastAsia="微软雅黑" w:cs="微软雅黑"/>
          <w:color w:val="5A5A5A"/>
          <w:shd w:val="clear" w:color="auto" w:fill="FFFFFF"/>
        </w:rPr>
        <w:t> </w:t>
      </w:r>
    </w:p>
    <w:p>
      <w:pPr>
        <w:pStyle w:val="13"/>
        <w:widowControl/>
        <w:shd w:val="clear" w:color="auto" w:fill="FFFFFF"/>
        <w:spacing w:before="0" w:beforeAutospacing="0" w:after="0" w:afterAutospacing="0"/>
        <w:rPr>
          <w:rFonts w:ascii="微软雅黑" w:hAnsi="微软雅黑" w:eastAsia="微软雅黑" w:cs="微软雅黑"/>
          <w:color w:val="5A5A5A"/>
          <w:shd w:val="clear" w:color="auto" w:fill="FFFFFF"/>
        </w:rPr>
      </w:pPr>
    </w:p>
    <w:p>
      <w:pPr>
        <w:pStyle w:val="13"/>
        <w:widowControl/>
        <w:shd w:val="clear" w:color="auto" w:fill="FFFFFF"/>
        <w:spacing w:before="0" w:beforeAutospacing="0" w:after="120" w:afterAutospacing="0" w:line="360" w:lineRule="atLeast"/>
        <w:rPr>
          <w:rFonts w:ascii="微软雅黑" w:hAnsi="微软雅黑" w:eastAsia="微软雅黑" w:cs="微软雅黑"/>
          <w:color w:val="5A5A5A"/>
        </w:rPr>
      </w:pPr>
      <w:r>
        <w:rPr>
          <w:rFonts w:ascii="仿宋_GB2312" w:hAnsi="微软雅黑" w:eastAsia="仿宋_GB2312" w:cs="仿宋_GB2312"/>
          <w:color w:val="5A5A5A"/>
          <w:sz w:val="31"/>
          <w:szCs w:val="31"/>
          <w:shd w:val="clear" w:color="auto" w:fill="FFFFFF"/>
        </w:rPr>
        <w:t>填表说明：</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1、请填表人认真、准确填写，并加盖单位公章，为便于成交后进行政府采购合同备案，请填写完整。</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2、谈判项目产品中如无节能、环保产品，对应金额填“0”。</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3“分支机构分类”对应填写“分公司”、“办事处”“其他分支机构”。</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4、“企业规模”参照《中小企业划型标准规定》对应填写“大型企业”、“中型企业”、“小型企业”、“微型企业”。</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5、“注册资本”、“总资产”等金额均以“万元”为单位。</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6、“企业性质”对应填写“国有及国有控股”、“民营企业”、“集体企业”、“中外合资”、“外商独资”。</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7、“所属产业”对应填写“第一产业”、“第二产业”、“第三产业”。第一产业是指农林牧渔业;第二产业是指采矿业、制造业，电力、燃气及水的生产和供应业，建筑业;第三产业是指除第一、二产业以外的其他行业。</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8、“所属行业”对应填写“农林牧渔业”、“工业”、“建筑业”、“批发零售业”、“交通运输业”、“仓储业”、“邮政业”、“住宿餐饮业”、“信息传输和信息服务业”、“房地产业”、“其他”。</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9、“是否特殊企业”对应填写“军转自主择业创业企业”、“残疾人就业企业”、“再就业扶持企业”、“高新技术企业”、“软件企业”、“监狱企业”、“非特殊企业”。</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10、“上年政府采购合同总额”是指上年全年参与政府采购谈判，签订的政府采购合同金额总和。</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11、“上年缴税总额”是指上年企业全年缴纳税款总额，“其中增值税”、“其中营业税”、“其中所得税”分别对应填写上年缴纳金额。</w:t>
      </w:r>
    </w:p>
    <w:p>
      <w:pPr>
        <w:pStyle w:val="13"/>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12、“上年缴纳社会保险总额”是指上年企业全年缴纳养老、医疗等各类社会保险金额总和,“其中缴纳养老保险”、“其中缴纳医疗保险”、 “其中缴纳失业保险”分别对应填写上年缴纳金额。</w:t>
      </w:r>
    </w:p>
    <w:p>
      <w:pPr>
        <w:pStyle w:val="13"/>
        <w:widowControl/>
        <w:shd w:val="clear" w:color="auto" w:fill="FFFFFF"/>
        <w:spacing w:before="0" w:beforeAutospacing="0" w:after="0" w:afterAutospacing="0"/>
        <w:rPr>
          <w:rFonts w:ascii="仿宋" w:hAnsi="仿宋" w:eastAsia="仿宋" w:cs="仿宋"/>
          <w:b/>
          <w:bCs/>
          <w:color w:val="5A5A5A"/>
          <w:sz w:val="32"/>
          <w:szCs w:val="32"/>
        </w:rPr>
      </w:pPr>
    </w:p>
    <w:p>
      <w:pPr>
        <w:rPr>
          <w:rFonts w:ascii="仿宋" w:hAnsi="仿宋" w:eastAsia="仿宋" w:cs="仿宋"/>
          <w:b/>
          <w:bCs/>
          <w:color w:val="5A5A5A"/>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5A5A5A"/>
          <w:sz w:val="32"/>
          <w:szCs w:val="32"/>
        </w:rPr>
        <w:t>附件三</w:t>
      </w:r>
    </w:p>
    <w:p>
      <w:pPr>
        <w:pStyle w:val="13"/>
        <w:widowControl/>
        <w:shd w:val="clear" w:color="auto" w:fill="FFFFFF"/>
        <w:spacing w:before="0" w:beforeAutospacing="0" w:after="120" w:afterAutospacing="0" w:line="360" w:lineRule="atLeast"/>
        <w:jc w:val="center"/>
        <w:rPr>
          <w:rStyle w:val="18"/>
          <w:rFonts w:ascii="宋体" w:hAnsi="宋体" w:cs="宋体"/>
          <w:bCs/>
          <w:color w:val="000000"/>
          <w:shd w:val="clear" w:color="auto" w:fill="FFFFFF"/>
        </w:rPr>
      </w:pPr>
      <w:r>
        <w:rPr>
          <w:rStyle w:val="18"/>
          <w:rFonts w:hint="eastAsia" w:ascii="宋体" w:hAnsi="宋体" w:cs="宋体"/>
          <w:bCs/>
          <w:color w:val="000000"/>
          <w:shd w:val="clear" w:color="auto" w:fill="FFFFFF"/>
        </w:rPr>
        <w:t>承诺书</w:t>
      </w:r>
    </w:p>
    <w:p>
      <w:pPr>
        <w:spacing w:line="480" w:lineRule="exact"/>
        <w:rPr>
          <w:rFonts w:ascii="宋体" w:hAnsi="宋体" w:eastAsia="宋体" w:cs="宋体"/>
          <w:b/>
          <w:bCs/>
          <w:color w:val="000000"/>
          <w:sz w:val="24"/>
        </w:rPr>
      </w:pPr>
      <w:r>
        <w:rPr>
          <w:rFonts w:hint="eastAsia" w:ascii="宋体" w:hAnsi="宋体" w:eastAsia="宋体" w:cs="宋体"/>
          <w:b/>
          <w:bCs/>
          <w:color w:val="000000"/>
          <w:sz w:val="24"/>
        </w:rPr>
        <w:t>致：合肥市大数据资产运营有限公司</w:t>
      </w:r>
    </w:p>
    <w:p>
      <w:pPr>
        <w:spacing w:line="480" w:lineRule="exact"/>
        <w:ind w:left="420" w:leftChars="200" w:firstLine="482" w:firstLineChars="200"/>
        <w:rPr>
          <w:rFonts w:ascii="宋体" w:hAnsi="宋体" w:eastAsia="宋体" w:cs="宋体"/>
          <w:b/>
          <w:bCs/>
          <w:color w:val="000000"/>
          <w:sz w:val="24"/>
        </w:rPr>
      </w:pPr>
      <w:bookmarkStart w:id="2" w:name="_Toc28903"/>
      <w:r>
        <w:rPr>
          <w:rFonts w:hint="eastAsia" w:ascii="宋体" w:hAnsi="宋体" w:eastAsia="宋体" w:cs="宋体"/>
          <w:b/>
          <w:bCs/>
          <w:color w:val="000000"/>
          <w:sz w:val="24"/>
          <w:u w:val="single"/>
        </w:rPr>
        <w:t>（供应商名称）</w:t>
      </w:r>
      <w:r>
        <w:rPr>
          <w:rFonts w:hint="eastAsia" w:ascii="宋体" w:hAnsi="宋体" w:eastAsia="宋体" w:cs="宋体"/>
          <w:b/>
          <w:bCs/>
          <w:color w:val="000000"/>
          <w:sz w:val="24"/>
        </w:rPr>
        <w:t>参加贵单位组织的</w:t>
      </w:r>
      <w:r>
        <w:rPr>
          <w:rFonts w:hint="eastAsia" w:ascii="宋体" w:hAnsi="宋体" w:eastAsia="宋体" w:cs="宋体"/>
          <w:b/>
          <w:bCs/>
          <w:color w:val="000000"/>
          <w:sz w:val="24"/>
          <w:u w:val="single"/>
        </w:rPr>
        <w:t>（项目名称）</w:t>
      </w:r>
      <w:r>
        <w:rPr>
          <w:rFonts w:hint="eastAsia" w:ascii="宋体" w:hAnsi="宋体" w:eastAsia="宋体" w:cs="宋体"/>
          <w:b/>
          <w:bCs/>
          <w:color w:val="000000"/>
          <w:sz w:val="24"/>
        </w:rPr>
        <w:t>。我方现郑重承诺：</w:t>
      </w:r>
    </w:p>
    <w:p>
      <w:pPr>
        <w:spacing w:line="480" w:lineRule="exact"/>
        <w:ind w:firstLine="482" w:firstLineChars="200"/>
        <w:rPr>
          <w:rFonts w:ascii="宋体" w:hAnsi="宋体" w:eastAsia="宋体" w:cs="宋体"/>
          <w:b/>
          <w:bCs/>
          <w:color w:val="000000"/>
          <w:sz w:val="24"/>
        </w:rPr>
      </w:pPr>
      <w:r>
        <w:rPr>
          <w:rFonts w:hint="eastAsia" w:ascii="宋体" w:hAnsi="宋体" w:eastAsia="宋体" w:cs="宋体"/>
          <w:b/>
          <w:bCs/>
          <w:color w:val="000000"/>
          <w:sz w:val="24"/>
        </w:rPr>
        <w:t>1、在参与本次采购活动中我方不存在下列任何情形之一：</w:t>
      </w:r>
      <w:bookmarkEnd w:id="2"/>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（11）在“信用中国”网站</w:t>
      </w:r>
      <w:r>
        <w:rPr>
          <w:rFonts w:hint="eastAsia" w:ascii="宋体" w:hAnsi="宋体" w:eastAsia="宋体" w:cs="宋体"/>
          <w:color w:val="000000"/>
          <w:sz w:val="24"/>
        </w:rPr>
        <w:t>被列为重大税收违法失信主体的</w:t>
      </w:r>
      <w:r>
        <w:rPr>
          <w:rFonts w:hint="eastAsia" w:ascii="宋体" w:hAnsi="宋体" w:eastAsia="宋体" w:cs="宋体"/>
          <w:color w:val="000000"/>
          <w:kern w:val="0"/>
          <w:sz w:val="24"/>
        </w:rPr>
        <w:t>；</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（12）在“中国裁判文书网”上查询我单位、单位法定代表人及拟派项目经理(项目负责人)具有行贿犯罪记录的。</w:t>
      </w:r>
    </w:p>
    <w:p>
      <w:pPr>
        <w:autoSpaceDE w:val="0"/>
        <w:autoSpaceDN w:val="0"/>
        <w:adjustRightInd w:val="0"/>
        <w:snapToGrid w:val="0"/>
        <w:spacing w:line="480" w:lineRule="exact"/>
        <w:ind w:left="102" w:right="40" w:firstLine="420"/>
        <w:jc w:val="left"/>
        <w:rPr>
          <w:rFonts w:ascii="宋体" w:hAnsi="宋体" w:eastAsia="宋体" w:cs="宋体"/>
          <w:color w:val="000000"/>
          <w:kern w:val="0"/>
          <w:sz w:val="24"/>
        </w:rPr>
      </w:pPr>
      <w:r>
        <w:rPr>
          <w:rFonts w:hint="eastAsia" w:ascii="宋体" w:hAnsi="宋体" w:eastAsia="宋体" w:cs="宋体"/>
          <w:color w:val="000000"/>
          <w:kern w:val="0"/>
          <w:sz w:val="24"/>
        </w:rPr>
        <w:t>（13）存在串通应答、弄虚作假行为；</w:t>
      </w:r>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color w:val="000000"/>
          <w:kern w:val="0"/>
          <w:sz w:val="24"/>
        </w:rPr>
        <w:t>（14）法律法规规定的其他情形。</w:t>
      </w:r>
    </w:p>
    <w:p>
      <w:pPr>
        <w:autoSpaceDE w:val="0"/>
        <w:autoSpaceDN w:val="0"/>
        <w:adjustRightInd w:val="0"/>
        <w:snapToGrid w:val="0"/>
        <w:spacing w:line="480" w:lineRule="exact"/>
        <w:ind w:left="100" w:right="42" w:firstLine="420"/>
        <w:jc w:val="left"/>
        <w:rPr>
          <w:rFonts w:ascii="宋体" w:hAnsi="宋体" w:eastAsia="宋体" w:cs="宋体"/>
          <w:color w:val="000000"/>
          <w:kern w:val="0"/>
          <w:sz w:val="24"/>
        </w:rPr>
      </w:pPr>
      <w:r>
        <w:rPr>
          <w:rFonts w:hint="eastAsia" w:ascii="宋体" w:hAnsi="宋体" w:eastAsia="宋体" w:cs="宋体"/>
          <w:b/>
          <w:color w:val="000000"/>
          <w:kern w:val="0"/>
          <w:sz w:val="24"/>
        </w:rPr>
        <w:t>我方对以上承诺内容的真实性负责</w:t>
      </w:r>
      <w:r>
        <w:rPr>
          <w:rFonts w:hint="eastAsia" w:ascii="宋体" w:hAnsi="宋体" w:eastAsia="宋体" w:cs="宋体"/>
          <w:color w:val="000000"/>
          <w:kern w:val="0"/>
          <w:sz w:val="24"/>
        </w:rPr>
        <w:t>。</w:t>
      </w:r>
    </w:p>
    <w:p>
      <w:pPr>
        <w:spacing w:line="480" w:lineRule="exact"/>
        <w:ind w:firstLine="482" w:firstLineChars="200"/>
        <w:jc w:val="left"/>
        <w:rPr>
          <w:rFonts w:ascii="宋体" w:hAnsi="宋体" w:eastAsia="宋体" w:cs="宋体"/>
          <w:b/>
          <w:color w:val="000000"/>
          <w:sz w:val="24"/>
        </w:rPr>
      </w:pPr>
    </w:p>
    <w:p>
      <w:pPr>
        <w:tabs>
          <w:tab w:val="left" w:pos="3200"/>
          <w:tab w:val="left" w:pos="3620"/>
          <w:tab w:val="left" w:pos="7240"/>
        </w:tabs>
        <w:autoSpaceDE w:val="0"/>
        <w:autoSpaceDN w:val="0"/>
        <w:adjustRightInd w:val="0"/>
        <w:spacing w:line="480" w:lineRule="exact"/>
        <w:ind w:right="-20"/>
        <w:jc w:val="right"/>
        <w:rPr>
          <w:rFonts w:ascii="宋体" w:hAnsi="宋体" w:eastAsia="宋体" w:cs="宋体"/>
          <w:color w:val="000000"/>
          <w:sz w:val="24"/>
        </w:rPr>
      </w:pPr>
      <w:r>
        <w:rPr>
          <w:rFonts w:hint="eastAsia" w:ascii="宋体" w:hAnsi="宋体" w:eastAsia="宋体" w:cs="宋体"/>
          <w:color w:val="000000"/>
          <w:kern w:val="0"/>
          <w:sz w:val="24"/>
        </w:rPr>
        <w:t>供应商：</w:t>
      </w:r>
      <w:r>
        <w:rPr>
          <w:rFonts w:hint="eastAsia" w:ascii="宋体" w:hAnsi="宋体" w:eastAsia="宋体" w:cs="宋体"/>
          <w:color w:val="000000"/>
          <w:kern w:val="0"/>
          <w:sz w:val="24"/>
          <w:u w:val="single"/>
        </w:rPr>
        <w:tab/>
      </w:r>
      <w:r>
        <w:rPr>
          <w:rFonts w:hint="eastAsia" w:ascii="宋体" w:hAnsi="宋体" w:eastAsia="宋体" w:cs="宋体"/>
          <w:color w:val="000000"/>
          <w:sz w:val="24"/>
        </w:rPr>
        <w:t>（单位公章）</w:t>
      </w:r>
    </w:p>
    <w:p>
      <w:pPr>
        <w:tabs>
          <w:tab w:val="left" w:pos="7640"/>
        </w:tabs>
        <w:autoSpaceDE w:val="0"/>
        <w:autoSpaceDN w:val="0"/>
        <w:adjustRightInd w:val="0"/>
        <w:spacing w:line="480" w:lineRule="exact"/>
        <w:ind w:right="-20"/>
        <w:jc w:val="right"/>
        <w:rPr>
          <w:rFonts w:ascii="宋体" w:hAnsi="宋体" w:eastAsia="宋体" w:cs="宋体"/>
          <w:color w:val="000000"/>
          <w:kern w:val="0"/>
          <w:position w:val="-2"/>
          <w:sz w:val="24"/>
        </w:rPr>
      </w:pPr>
      <w:r>
        <w:rPr>
          <w:rFonts w:hint="eastAsia" w:ascii="宋体" w:hAnsi="宋体" w:eastAsia="宋体" w:cs="宋体"/>
          <w:color w:val="000000"/>
          <w:kern w:val="0"/>
          <w:position w:val="-2"/>
          <w:sz w:val="24"/>
        </w:rPr>
        <w:t>法定代表人（单位负责人）或其委托代理人：（签字或盖章）</w:t>
      </w:r>
    </w:p>
    <w:p>
      <w:pPr>
        <w:pStyle w:val="13"/>
        <w:widowControl/>
        <w:shd w:val="clear" w:color="auto" w:fill="FFFFFF"/>
        <w:spacing w:before="0" w:beforeAutospacing="0" w:after="0" w:afterAutospacing="0" w:line="360" w:lineRule="atLeast"/>
        <w:ind w:firstLine="435"/>
        <w:jc w:val="right"/>
        <w:rPr>
          <w:rFonts w:ascii="宋体" w:hAnsi="宋体" w:eastAsia="宋体" w:cs="宋体"/>
          <w:color w:val="5A5A5A"/>
        </w:rPr>
      </w:pPr>
      <w:r>
        <w:rPr>
          <w:rFonts w:hint="eastAsia" w:ascii="宋体" w:hAnsi="宋体" w:eastAsia="宋体" w:cs="宋体"/>
          <w:color w:val="000000"/>
          <w:u w:val="single"/>
        </w:rPr>
        <w:tab/>
      </w:r>
      <w:r>
        <w:rPr>
          <w:rFonts w:hint="eastAsia" w:ascii="宋体" w:hAnsi="宋体" w:eastAsia="宋体" w:cs="宋体"/>
          <w:color w:val="000000"/>
        </w:rPr>
        <w:t>年</w:t>
      </w:r>
      <w:r>
        <w:rPr>
          <w:rFonts w:hint="eastAsia" w:ascii="宋体" w:hAnsi="宋体" w:eastAsia="宋体" w:cs="宋体"/>
          <w:color w:val="000000"/>
          <w:u w:val="single"/>
        </w:rPr>
        <w:tab/>
      </w:r>
      <w:r>
        <w:rPr>
          <w:rFonts w:hint="eastAsia" w:ascii="宋体" w:hAnsi="宋体" w:eastAsia="宋体" w:cs="宋体"/>
          <w:color w:val="000000"/>
          <w:spacing w:val="-2"/>
        </w:rPr>
        <w:t>月</w:t>
      </w:r>
      <w:r>
        <w:rPr>
          <w:rFonts w:hint="eastAsia" w:ascii="宋体" w:hAnsi="宋体" w:eastAsia="宋体" w:cs="宋体"/>
          <w:color w:val="000000"/>
          <w:u w:val="single"/>
        </w:rPr>
        <w:tab/>
      </w:r>
      <w:r>
        <w:rPr>
          <w:rFonts w:hint="eastAsia" w:ascii="宋体" w:hAnsi="宋体" w:eastAsia="宋体" w:cs="宋体"/>
          <w:color w:val="000000"/>
        </w:rPr>
        <w:t>日</w:t>
      </w:r>
    </w:p>
    <w:p>
      <w:pPr>
        <w:rPr>
          <w:rFonts w:ascii="仿宋" w:hAnsi="仿宋" w:eastAsia="仿宋" w:cs="仿宋"/>
          <w:b/>
          <w:bCs/>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sz w:val="32"/>
          <w:szCs w:val="32"/>
        </w:rPr>
        <w:t>附件四</w:t>
      </w:r>
    </w:p>
    <w:p>
      <w:pPr>
        <w:pStyle w:val="13"/>
        <w:widowControl/>
        <w:shd w:val="clear" w:color="auto" w:fill="FFFFFF"/>
        <w:spacing w:before="0" w:beforeAutospacing="0" w:after="0" w:afterAutospacing="0"/>
        <w:jc w:val="center"/>
        <w:rPr>
          <w:rFonts w:ascii="仿宋" w:hAnsi="仿宋" w:eastAsia="仿宋" w:cs="仿宋"/>
          <w:b/>
          <w:bCs/>
          <w:sz w:val="32"/>
          <w:szCs w:val="32"/>
        </w:rPr>
      </w:pPr>
      <w:r>
        <w:rPr>
          <w:rFonts w:hint="eastAsia" w:ascii="仿宋" w:hAnsi="仿宋" w:eastAsia="仿宋" w:cs="仿宋"/>
          <w:b/>
          <w:bCs/>
          <w:sz w:val="32"/>
          <w:szCs w:val="32"/>
        </w:rPr>
        <w:t>营业执照</w:t>
      </w:r>
    </w:p>
    <w:p>
      <w:pPr>
        <w:pStyle w:val="13"/>
        <w:widowControl/>
        <w:shd w:val="clear" w:color="auto" w:fill="FFFFFF"/>
        <w:spacing w:before="0" w:beforeAutospacing="0" w:after="0" w:afterAutospacing="0"/>
        <w:jc w:val="center"/>
        <w:rPr>
          <w:rFonts w:ascii="仿宋" w:hAnsi="仿宋" w:eastAsia="仿宋" w:cs="仿宋"/>
          <w:sz w:val="32"/>
          <w:szCs w:val="32"/>
        </w:rPr>
      </w:pPr>
    </w:p>
    <w:p>
      <w:pPr>
        <w:pStyle w:val="13"/>
        <w:widowControl/>
        <w:shd w:val="clear" w:color="auto" w:fill="FFFFFF"/>
        <w:spacing w:before="0" w:beforeAutospacing="0" w:after="0" w:afterAutospacing="0"/>
        <w:rPr>
          <w:rFonts w:ascii="仿宋_GB2312" w:hAnsi="仿宋_GB2312" w:eastAsia="仿宋_GB2312" w:cs="仿宋_GB2312"/>
          <w:b/>
          <w:bCs/>
          <w:kern w:val="2"/>
          <w:sz w:val="32"/>
          <w:szCs w:val="32"/>
        </w:rPr>
      </w:pPr>
    </w:p>
    <w:p>
      <w:pPr>
        <w:pStyle w:val="13"/>
        <w:widowControl/>
        <w:shd w:val="clear" w:color="auto" w:fill="FFFFFF"/>
        <w:spacing w:before="0" w:beforeAutospacing="0" w:after="0" w:afterAutospacing="0"/>
        <w:rPr>
          <w:rFonts w:ascii="仿宋_GB2312" w:hAnsi="仿宋_GB2312" w:eastAsia="仿宋_GB2312" w:cs="仿宋_GB2312"/>
          <w:b/>
          <w:bCs/>
          <w:kern w:val="2"/>
          <w:sz w:val="32"/>
          <w:szCs w:val="32"/>
        </w:rPr>
      </w:pPr>
    </w:p>
    <w:p>
      <w:pPr>
        <w:pStyle w:val="13"/>
        <w:widowControl/>
        <w:shd w:val="clear" w:color="auto" w:fill="FFFFFF"/>
        <w:spacing w:before="0" w:beforeAutospacing="0" w:after="0" w:afterAutospacing="0"/>
        <w:rPr>
          <w:rFonts w:ascii="仿宋_GB2312" w:hAnsi="仿宋_GB2312" w:eastAsia="仿宋_GB2312" w:cs="仿宋_GB2312"/>
          <w:b/>
          <w:bCs/>
          <w:kern w:val="2"/>
          <w:sz w:val="32"/>
          <w:szCs w:val="32"/>
        </w:rPr>
      </w:pPr>
    </w:p>
    <w:p>
      <w:pPr>
        <w:pStyle w:val="13"/>
        <w:widowControl/>
        <w:shd w:val="clear" w:color="auto" w:fill="FFFFFF"/>
        <w:spacing w:before="0" w:beforeAutospacing="0" w:after="0" w:afterAutospacing="0"/>
        <w:rPr>
          <w:rFonts w:ascii="仿宋_GB2312" w:hAnsi="仿宋_GB2312" w:eastAsia="仿宋_GB2312" w:cs="仿宋_GB2312"/>
          <w:b/>
          <w:bCs/>
          <w:kern w:val="2"/>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附件五</w:t>
      </w:r>
    </w:p>
    <w:p>
      <w:pPr>
        <w:widowControl/>
        <w:spacing w:line="360" w:lineRule="auto"/>
        <w:jc w:val="center"/>
        <w:rPr>
          <w:rFonts w:ascii="宋体" w:hAnsi="宋体" w:cs="宋体"/>
          <w:b/>
          <w:bCs/>
          <w:sz w:val="28"/>
          <w:szCs w:val="28"/>
        </w:rPr>
      </w:pPr>
      <w:r>
        <w:rPr>
          <w:rFonts w:hint="eastAsia" w:ascii="宋体" w:hAnsi="宋体" w:cs="宋体"/>
          <w:b/>
          <w:bCs/>
          <w:sz w:val="28"/>
          <w:szCs w:val="28"/>
        </w:rPr>
        <w:t>响应/偏离表</w:t>
      </w:r>
    </w:p>
    <w:tbl>
      <w:tblPr>
        <w:tblStyle w:val="15"/>
        <w:tblW w:w="96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076"/>
        <w:gridCol w:w="2213"/>
        <w:gridCol w:w="2525"/>
        <w:gridCol w:w="18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5252" w:type="dxa"/>
            <w:gridSpan w:val="3"/>
            <w:vAlign w:val="center"/>
          </w:tcPr>
          <w:p>
            <w:pPr>
              <w:pStyle w:val="10"/>
              <w:jc w:val="center"/>
              <w:rPr>
                <w:rFonts w:hAnsi="宋体" w:cs="宋体"/>
                <w:b/>
                <w:sz w:val="24"/>
              </w:rPr>
            </w:pPr>
            <w:r>
              <w:rPr>
                <w:rFonts w:hint="eastAsia" w:hAnsi="宋体" w:cs="宋体"/>
                <w:b/>
                <w:sz w:val="24"/>
              </w:rPr>
              <w:t>按询比文件规定填写</w:t>
            </w:r>
          </w:p>
        </w:tc>
        <w:tc>
          <w:tcPr>
            <w:tcW w:w="4398" w:type="dxa"/>
            <w:gridSpan w:val="2"/>
            <w:vAlign w:val="center"/>
          </w:tcPr>
          <w:p>
            <w:pPr>
              <w:pStyle w:val="10"/>
              <w:jc w:val="center"/>
              <w:rPr>
                <w:rFonts w:hAnsi="宋体" w:cs="宋体"/>
                <w:b/>
                <w:sz w:val="24"/>
              </w:rPr>
            </w:pPr>
            <w:r>
              <w:rPr>
                <w:rFonts w:hint="eastAsia" w:hAnsi="宋体" w:cs="宋体"/>
                <w:b/>
                <w:sz w:val="24"/>
              </w:rPr>
              <w:t>按供应商响应内容填写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9650" w:type="dxa"/>
            <w:gridSpan w:val="5"/>
            <w:vAlign w:val="center"/>
          </w:tcPr>
          <w:p>
            <w:pPr>
              <w:pStyle w:val="10"/>
              <w:jc w:val="center"/>
              <w:rPr>
                <w:rFonts w:hAnsi="宋体" w:cs="宋体"/>
                <w:b/>
                <w:sz w:val="24"/>
              </w:rPr>
            </w:pPr>
            <w:r>
              <w:rPr>
                <w:rFonts w:hint="eastAsia" w:hAnsi="宋体" w:cs="宋体"/>
                <w:b/>
                <w:sz w:val="24"/>
              </w:rPr>
              <w:t>第一部分：技术部分响应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963" w:type="dxa"/>
            <w:vAlign w:val="center"/>
          </w:tcPr>
          <w:p>
            <w:pPr>
              <w:pStyle w:val="10"/>
              <w:jc w:val="center"/>
              <w:rPr>
                <w:rFonts w:hAnsi="宋体" w:cs="宋体"/>
                <w:b/>
                <w:sz w:val="24"/>
              </w:rPr>
            </w:pPr>
            <w:r>
              <w:rPr>
                <w:rFonts w:hint="eastAsia" w:hAnsi="宋体" w:cs="宋体"/>
                <w:b/>
                <w:sz w:val="24"/>
              </w:rPr>
              <w:t>序号</w:t>
            </w:r>
          </w:p>
        </w:tc>
        <w:tc>
          <w:tcPr>
            <w:tcW w:w="2076" w:type="dxa"/>
            <w:vAlign w:val="center"/>
          </w:tcPr>
          <w:p>
            <w:pPr>
              <w:pStyle w:val="10"/>
              <w:jc w:val="center"/>
              <w:rPr>
                <w:rFonts w:hAnsi="宋体" w:cs="宋体"/>
                <w:b/>
                <w:sz w:val="24"/>
              </w:rPr>
            </w:pPr>
            <w:r>
              <w:rPr>
                <w:rFonts w:hint="eastAsia" w:hAnsi="宋体" w:cs="宋体"/>
                <w:b/>
                <w:sz w:val="24"/>
              </w:rPr>
              <w:t>品名</w:t>
            </w:r>
          </w:p>
        </w:tc>
        <w:tc>
          <w:tcPr>
            <w:tcW w:w="2213" w:type="dxa"/>
            <w:vAlign w:val="center"/>
          </w:tcPr>
          <w:p>
            <w:pPr>
              <w:pStyle w:val="10"/>
              <w:jc w:val="center"/>
              <w:rPr>
                <w:rFonts w:hAnsi="宋体" w:cs="宋体"/>
                <w:b/>
                <w:sz w:val="24"/>
              </w:rPr>
            </w:pPr>
            <w:r>
              <w:rPr>
                <w:rFonts w:hint="eastAsia" w:hAnsi="宋体" w:cs="宋体"/>
                <w:b/>
                <w:sz w:val="24"/>
              </w:rPr>
              <w:t>技术规格及配置</w:t>
            </w:r>
          </w:p>
        </w:tc>
        <w:tc>
          <w:tcPr>
            <w:tcW w:w="2525" w:type="dxa"/>
            <w:vAlign w:val="center"/>
          </w:tcPr>
          <w:p>
            <w:pPr>
              <w:pStyle w:val="10"/>
              <w:rPr>
                <w:rFonts w:hAnsi="宋体" w:cs="宋体"/>
                <w:b/>
                <w:sz w:val="24"/>
              </w:rPr>
            </w:pPr>
            <w:r>
              <w:rPr>
                <w:rFonts w:hint="eastAsia" w:hAnsi="宋体" w:cs="宋体"/>
                <w:b/>
                <w:sz w:val="24"/>
              </w:rPr>
              <w:t>品牌、型号、技术规格及配置、材质</w:t>
            </w:r>
          </w:p>
        </w:tc>
        <w:tc>
          <w:tcPr>
            <w:tcW w:w="1873" w:type="dxa"/>
            <w:vAlign w:val="center"/>
          </w:tcPr>
          <w:p>
            <w:pPr>
              <w:pStyle w:val="10"/>
              <w:jc w:val="center"/>
              <w:rPr>
                <w:rFonts w:hAnsi="宋体" w:cs="宋体"/>
                <w:b/>
                <w:sz w:val="24"/>
              </w:rPr>
            </w:pPr>
            <w:r>
              <w:rPr>
                <w:rFonts w:hint="eastAsia" w:hAnsi="宋体" w:cs="宋体"/>
                <w:b/>
                <w:sz w:val="24"/>
              </w:rPr>
              <w:t>偏离说明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1</w:t>
            </w:r>
          </w:p>
        </w:tc>
        <w:tc>
          <w:tcPr>
            <w:tcW w:w="2076" w:type="dxa"/>
          </w:tcPr>
          <w:p>
            <w:pPr>
              <w:rPr>
                <w:rFonts w:ascii="宋体" w:hAnsi="宋体" w:cs="宋体"/>
                <w:sz w:val="24"/>
              </w:rPr>
            </w:pP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2</w:t>
            </w:r>
          </w:p>
        </w:tc>
        <w:tc>
          <w:tcPr>
            <w:tcW w:w="2076" w:type="dxa"/>
          </w:tcPr>
          <w:p>
            <w:pPr>
              <w:rPr>
                <w:rFonts w:ascii="宋体" w:hAnsi="宋体" w:cs="宋体"/>
                <w:sz w:val="24"/>
              </w:rPr>
            </w:pP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3</w:t>
            </w:r>
          </w:p>
        </w:tc>
        <w:tc>
          <w:tcPr>
            <w:tcW w:w="2076" w:type="dxa"/>
          </w:tcPr>
          <w:p>
            <w:pPr>
              <w:rPr>
                <w:rFonts w:ascii="宋体" w:hAnsi="宋体" w:cs="宋体"/>
                <w:sz w:val="24"/>
              </w:rPr>
            </w:pPr>
          </w:p>
        </w:tc>
        <w:tc>
          <w:tcPr>
            <w:tcW w:w="2213" w:type="dxa"/>
          </w:tcPr>
          <w:p>
            <w:pPr>
              <w:rPr>
                <w:rFonts w:ascii="宋体" w:hAnsi="宋体" w:cs="宋体"/>
                <w:sz w:val="24"/>
              </w:rPr>
            </w:pPr>
          </w:p>
        </w:tc>
        <w:tc>
          <w:tcPr>
            <w:tcW w:w="2525" w:type="dxa"/>
          </w:tcPr>
          <w:p>
            <w:pPr>
              <w:pStyle w:val="33"/>
              <w:rPr>
                <w:rFonts w:ascii="宋体" w:hAnsi="宋体" w:cs="宋体"/>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4</w:t>
            </w:r>
          </w:p>
        </w:tc>
        <w:tc>
          <w:tcPr>
            <w:tcW w:w="2076" w:type="dxa"/>
          </w:tcPr>
          <w:p>
            <w:pPr>
              <w:rPr>
                <w:rFonts w:ascii="宋体" w:hAnsi="宋体" w:cs="宋体"/>
                <w:sz w:val="24"/>
              </w:rPr>
            </w:pP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50" w:type="dxa"/>
            <w:gridSpan w:val="5"/>
            <w:vAlign w:val="center"/>
          </w:tcPr>
          <w:p>
            <w:pPr>
              <w:pStyle w:val="10"/>
              <w:jc w:val="center"/>
              <w:rPr>
                <w:rFonts w:hAnsi="宋体" w:cs="宋体"/>
                <w:sz w:val="24"/>
              </w:rPr>
            </w:pPr>
            <w:r>
              <w:rPr>
                <w:rFonts w:hint="eastAsia" w:hAnsi="宋体" w:cs="宋体"/>
                <w:b/>
                <w:sz w:val="24"/>
              </w:rPr>
              <w:t>第二部分：商务部分响应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pStyle w:val="10"/>
              <w:jc w:val="center"/>
              <w:rPr>
                <w:rFonts w:hAnsi="宋体" w:cs="宋体"/>
                <w:b/>
                <w:sz w:val="24"/>
              </w:rPr>
            </w:pPr>
            <w:r>
              <w:rPr>
                <w:rFonts w:hint="eastAsia" w:hAnsi="宋体" w:cs="宋体"/>
                <w:b/>
                <w:sz w:val="24"/>
              </w:rPr>
              <w:t>序号</w:t>
            </w:r>
          </w:p>
        </w:tc>
        <w:tc>
          <w:tcPr>
            <w:tcW w:w="2076" w:type="dxa"/>
            <w:vAlign w:val="center"/>
          </w:tcPr>
          <w:p>
            <w:pPr>
              <w:pStyle w:val="10"/>
              <w:jc w:val="center"/>
              <w:rPr>
                <w:rFonts w:hAnsi="宋体" w:cs="宋体"/>
                <w:b/>
                <w:sz w:val="24"/>
              </w:rPr>
            </w:pPr>
            <w:r>
              <w:rPr>
                <w:rFonts w:hint="eastAsia" w:hAnsi="宋体" w:cs="宋体"/>
                <w:b/>
                <w:sz w:val="24"/>
              </w:rPr>
              <w:t>内容</w:t>
            </w:r>
          </w:p>
        </w:tc>
        <w:tc>
          <w:tcPr>
            <w:tcW w:w="2213" w:type="dxa"/>
            <w:vAlign w:val="center"/>
          </w:tcPr>
          <w:p>
            <w:pPr>
              <w:pStyle w:val="10"/>
              <w:jc w:val="center"/>
              <w:rPr>
                <w:rFonts w:hAnsi="宋体" w:cs="宋体"/>
                <w:b/>
                <w:sz w:val="24"/>
              </w:rPr>
            </w:pPr>
            <w:r>
              <w:rPr>
                <w:rFonts w:hint="eastAsia" w:hAnsi="宋体" w:cs="宋体"/>
                <w:b/>
                <w:sz w:val="24"/>
              </w:rPr>
              <w:t>询比要求</w:t>
            </w:r>
          </w:p>
        </w:tc>
        <w:tc>
          <w:tcPr>
            <w:tcW w:w="2525" w:type="dxa"/>
            <w:vAlign w:val="center"/>
          </w:tcPr>
          <w:p>
            <w:pPr>
              <w:pStyle w:val="10"/>
              <w:jc w:val="center"/>
              <w:rPr>
                <w:rFonts w:hAnsi="宋体" w:cs="宋体"/>
                <w:b/>
                <w:sz w:val="24"/>
              </w:rPr>
            </w:pPr>
            <w:r>
              <w:rPr>
                <w:rFonts w:hint="eastAsia" w:hAnsi="宋体" w:cs="宋体"/>
                <w:b/>
                <w:sz w:val="24"/>
              </w:rPr>
              <w:t>响应承诺</w:t>
            </w:r>
          </w:p>
        </w:tc>
        <w:tc>
          <w:tcPr>
            <w:tcW w:w="1873" w:type="dxa"/>
            <w:vAlign w:val="center"/>
          </w:tcPr>
          <w:p>
            <w:pPr>
              <w:pStyle w:val="10"/>
              <w:jc w:val="center"/>
              <w:rPr>
                <w:rFonts w:hAnsi="宋体" w:cs="宋体"/>
                <w:b/>
                <w:sz w:val="24"/>
              </w:rPr>
            </w:pPr>
            <w:r>
              <w:rPr>
                <w:rFonts w:hint="eastAsia" w:hAnsi="宋体" w:cs="宋体"/>
                <w:b/>
                <w:sz w:val="24"/>
              </w:rPr>
              <w:t>偏离说明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1</w:t>
            </w:r>
          </w:p>
        </w:tc>
        <w:tc>
          <w:tcPr>
            <w:tcW w:w="2076" w:type="dxa"/>
            <w:vAlign w:val="center"/>
          </w:tcPr>
          <w:p>
            <w:pPr>
              <w:jc w:val="center"/>
              <w:rPr>
                <w:rFonts w:ascii="宋体" w:hAnsi="宋体" w:cs="宋体"/>
                <w:sz w:val="24"/>
              </w:rPr>
            </w:pPr>
            <w:r>
              <w:rPr>
                <w:rFonts w:hint="eastAsia" w:ascii="宋体" w:hAnsi="宋体" w:cs="宋体"/>
                <w:sz w:val="24"/>
              </w:rPr>
              <w:t>服务期限</w:t>
            </w: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2</w:t>
            </w:r>
          </w:p>
        </w:tc>
        <w:tc>
          <w:tcPr>
            <w:tcW w:w="2076" w:type="dxa"/>
            <w:vAlign w:val="center"/>
          </w:tcPr>
          <w:p>
            <w:pPr>
              <w:jc w:val="center"/>
              <w:rPr>
                <w:rFonts w:ascii="宋体" w:hAnsi="宋体" w:cs="宋体"/>
                <w:sz w:val="24"/>
              </w:rPr>
            </w:pPr>
            <w:r>
              <w:rPr>
                <w:rFonts w:hint="eastAsia" w:ascii="宋体" w:hAnsi="宋体" w:cs="宋体"/>
                <w:sz w:val="24"/>
              </w:rPr>
              <w:t>质保期</w:t>
            </w: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3</w:t>
            </w:r>
          </w:p>
        </w:tc>
        <w:tc>
          <w:tcPr>
            <w:tcW w:w="2076" w:type="dxa"/>
            <w:vAlign w:val="center"/>
          </w:tcPr>
          <w:p>
            <w:pPr>
              <w:jc w:val="center"/>
              <w:rPr>
                <w:rFonts w:ascii="宋体" w:hAnsi="宋体" w:cs="宋体"/>
                <w:sz w:val="24"/>
              </w:rPr>
            </w:pPr>
            <w:r>
              <w:rPr>
                <w:rFonts w:hint="eastAsia" w:ascii="宋体" w:hAnsi="宋体" w:cs="宋体"/>
                <w:sz w:val="24"/>
              </w:rPr>
              <w:t>免费售后服务期限</w:t>
            </w: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4</w:t>
            </w:r>
          </w:p>
        </w:tc>
        <w:tc>
          <w:tcPr>
            <w:tcW w:w="2076" w:type="dxa"/>
            <w:vAlign w:val="center"/>
          </w:tcPr>
          <w:p>
            <w:pPr>
              <w:jc w:val="center"/>
              <w:rPr>
                <w:rFonts w:ascii="宋体" w:hAnsi="宋体" w:cs="宋体"/>
                <w:sz w:val="24"/>
              </w:rPr>
            </w:pPr>
            <w:r>
              <w:rPr>
                <w:rFonts w:hint="eastAsia" w:ascii="宋体" w:hAnsi="宋体" w:cs="宋体"/>
                <w:sz w:val="24"/>
              </w:rPr>
              <w:t>付款方式</w:t>
            </w: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3" w:type="dxa"/>
            <w:vAlign w:val="center"/>
          </w:tcPr>
          <w:p>
            <w:pPr>
              <w:jc w:val="center"/>
              <w:rPr>
                <w:rFonts w:ascii="宋体" w:hAnsi="宋体" w:cs="宋体"/>
                <w:sz w:val="24"/>
              </w:rPr>
            </w:pPr>
            <w:r>
              <w:rPr>
                <w:rFonts w:hint="eastAsia" w:ascii="宋体" w:hAnsi="宋体" w:cs="宋体"/>
                <w:sz w:val="24"/>
              </w:rPr>
              <w:t>5</w:t>
            </w:r>
          </w:p>
        </w:tc>
        <w:tc>
          <w:tcPr>
            <w:tcW w:w="2076" w:type="dxa"/>
            <w:vAlign w:val="center"/>
          </w:tcPr>
          <w:p>
            <w:pPr>
              <w:jc w:val="center"/>
              <w:rPr>
                <w:rFonts w:ascii="宋体" w:hAnsi="宋体" w:cs="宋体"/>
                <w:sz w:val="24"/>
              </w:rPr>
            </w:pPr>
            <w:r>
              <w:rPr>
                <w:rFonts w:hint="eastAsia" w:ascii="宋体" w:hAnsi="宋体" w:cs="宋体"/>
                <w:sz w:val="24"/>
              </w:rPr>
              <w:t>其他</w:t>
            </w:r>
          </w:p>
        </w:tc>
        <w:tc>
          <w:tcPr>
            <w:tcW w:w="2213" w:type="dxa"/>
          </w:tcPr>
          <w:p>
            <w:pPr>
              <w:rPr>
                <w:rFonts w:ascii="宋体" w:hAnsi="宋体" w:cs="宋体"/>
                <w:sz w:val="24"/>
              </w:rPr>
            </w:pPr>
          </w:p>
        </w:tc>
        <w:tc>
          <w:tcPr>
            <w:tcW w:w="2525" w:type="dxa"/>
          </w:tcPr>
          <w:p>
            <w:pPr>
              <w:rPr>
                <w:rFonts w:ascii="宋体" w:hAnsi="宋体" w:cs="宋体"/>
                <w:sz w:val="24"/>
              </w:rPr>
            </w:pPr>
          </w:p>
        </w:tc>
        <w:tc>
          <w:tcPr>
            <w:tcW w:w="1873" w:type="dxa"/>
          </w:tcPr>
          <w:p>
            <w:pPr>
              <w:rPr>
                <w:rFonts w:ascii="宋体" w:hAnsi="宋体" w:cs="宋体"/>
                <w:sz w:val="24"/>
              </w:rPr>
            </w:pPr>
          </w:p>
        </w:tc>
      </w:tr>
    </w:tbl>
    <w:p>
      <w:pPr>
        <w:pStyle w:val="3"/>
        <w:spacing w:line="360" w:lineRule="auto"/>
        <w:ind w:left="5250"/>
        <w:rPr>
          <w:rFonts w:hAnsi="宋体" w:cs="宋体"/>
          <w:bCs/>
          <w:szCs w:val="24"/>
        </w:rPr>
      </w:pPr>
      <w:r>
        <w:rPr>
          <w:rFonts w:hint="eastAsia" w:hAnsi="宋体" w:cs="宋体"/>
          <w:bCs/>
          <w:szCs w:val="24"/>
        </w:rPr>
        <w:t>供应商公章：</w:t>
      </w:r>
    </w:p>
    <w:p>
      <w:pPr>
        <w:adjustRightInd w:val="0"/>
        <w:snapToGrid w:val="0"/>
        <w:spacing w:line="360" w:lineRule="auto"/>
        <w:rPr>
          <w:rFonts w:ascii="宋体" w:hAnsi="宋体" w:cs="宋体"/>
          <w:bCs/>
          <w:sz w:val="24"/>
        </w:rPr>
      </w:pPr>
      <w:r>
        <w:rPr>
          <w:rFonts w:hint="eastAsia" w:ascii="宋体" w:hAnsi="宋体" w:cs="宋体"/>
          <w:bCs/>
          <w:sz w:val="24"/>
        </w:rPr>
        <w:t>备注：</w:t>
      </w:r>
    </w:p>
    <w:p>
      <w:pPr>
        <w:adjustRightInd w:val="0"/>
        <w:snapToGrid w:val="0"/>
        <w:spacing w:line="360" w:lineRule="auto"/>
        <w:rPr>
          <w:rFonts w:ascii="宋体" w:hAnsi="宋体" w:cs="宋体"/>
          <w:bCs/>
          <w:sz w:val="24"/>
        </w:rPr>
      </w:pPr>
      <w:r>
        <w:rPr>
          <w:rFonts w:hint="eastAsia" w:ascii="宋体" w:hAnsi="宋体" w:cs="宋体"/>
          <w:bCs/>
          <w:sz w:val="24"/>
        </w:rPr>
        <w:t>1. 供应商必须逐项对应描述响应货物主要参数、材质、配置及服务要求，如不进行描述，仅在响应栏填“响应”或未填写或复制（包括全部复制或主要参数及配置的复制）询比文件技术参数的，包括有选择性的技术响应（例如在某一分项中出现两个及以上的响应产品品牌或两种及两种以上的技术规格），均可能导致响应文件无效。</w:t>
      </w:r>
    </w:p>
    <w:p>
      <w:pPr>
        <w:adjustRightInd w:val="0"/>
        <w:snapToGrid w:val="0"/>
        <w:spacing w:line="360" w:lineRule="auto"/>
        <w:rPr>
          <w:rFonts w:ascii="宋体" w:hAnsi="宋体" w:cs="宋体"/>
          <w:bCs/>
          <w:sz w:val="24"/>
        </w:rPr>
      </w:pPr>
      <w:r>
        <w:rPr>
          <w:rFonts w:hint="eastAsia" w:ascii="宋体" w:hAnsi="宋体" w:cs="宋体"/>
          <w:bCs/>
          <w:sz w:val="24"/>
        </w:rPr>
        <w:t>2. 供应商响应产品如与询比文件要求的规格及配置不一致，则须在上表偏离说明中详细注明。</w:t>
      </w:r>
    </w:p>
    <w:p>
      <w:pPr>
        <w:pStyle w:val="28"/>
      </w:pPr>
    </w:p>
    <w:p>
      <w:pPr>
        <w:pStyle w:val="28"/>
      </w:pPr>
    </w:p>
    <w:p>
      <w:pPr>
        <w:pStyle w:val="13"/>
        <w:widowControl/>
        <w:shd w:val="clear" w:color="auto" w:fill="FFFFFF"/>
        <w:spacing w:before="0" w:beforeAutospacing="0" w:after="0" w:afterAutospacing="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附件六                </w:t>
      </w:r>
    </w:p>
    <w:p>
      <w:pPr>
        <w:pStyle w:val="13"/>
        <w:widowControl/>
        <w:shd w:val="clear" w:color="auto" w:fill="FFFFFF"/>
        <w:spacing w:before="0" w:beforeAutospacing="0" w:after="0" w:afterAutospacing="0"/>
        <w:rPr>
          <w:rFonts w:ascii="仿宋_GB2312" w:hAnsi="仿宋_GB2312" w:eastAsia="仿宋_GB2312" w:cs="仿宋_GB2312"/>
          <w:b/>
          <w:bCs/>
          <w:kern w:val="2"/>
          <w:sz w:val="32"/>
          <w:szCs w:val="32"/>
        </w:rPr>
      </w:pPr>
    </w:p>
    <w:p>
      <w:pPr>
        <w:pStyle w:val="13"/>
        <w:widowControl/>
        <w:shd w:val="clear" w:color="auto" w:fill="FFFFFF"/>
        <w:spacing w:before="0" w:beforeAutospacing="0" w:after="0" w:afterAutospacing="0"/>
        <w:jc w:val="center"/>
        <w:rPr>
          <w:rFonts w:ascii="仿宋" w:hAnsi="仿宋" w:eastAsia="仿宋" w:cs="仿宋"/>
          <w:b/>
          <w:bCs/>
          <w:kern w:val="2"/>
          <w:sz w:val="32"/>
          <w:szCs w:val="32"/>
        </w:rPr>
      </w:pPr>
      <w:r>
        <w:rPr>
          <w:rFonts w:hint="eastAsia" w:ascii="仿宋" w:hAnsi="仿宋" w:eastAsia="仿宋" w:cs="仿宋"/>
          <w:b/>
          <w:bCs/>
          <w:kern w:val="2"/>
          <w:sz w:val="32"/>
          <w:szCs w:val="32"/>
        </w:rPr>
        <w:t>相关证明材料</w:t>
      </w:r>
    </w:p>
    <w:p>
      <w:pPr>
        <w:pStyle w:val="13"/>
        <w:widowControl/>
        <w:shd w:val="clear" w:color="auto" w:fill="FFFFFF"/>
        <w:spacing w:before="0" w:beforeAutospacing="0" w:after="0" w:afterAutospacing="0"/>
        <w:jc w:val="center"/>
        <w:rPr>
          <w:rFonts w:ascii="仿宋_GB2312" w:hAnsi="仿宋_GB2312" w:eastAsia="仿宋_GB2312" w:cs="仿宋_GB2312"/>
          <w:kern w:val="2"/>
          <w:sz w:val="32"/>
          <w:szCs w:val="32"/>
        </w:rPr>
      </w:pPr>
    </w:p>
    <w:p>
      <w:pPr>
        <w:pStyle w:val="13"/>
        <w:widowControl/>
        <w:shd w:val="clear" w:color="auto" w:fill="FFFFFF"/>
        <w:spacing w:before="0" w:beforeAutospacing="0" w:after="0" w:afterAutospacing="0"/>
        <w:jc w:val="center"/>
      </w:pPr>
      <w:r>
        <w:rPr>
          <w:rFonts w:hint="eastAsia" w:ascii="仿宋_GB2312" w:hAnsi="仿宋_GB2312" w:eastAsia="仿宋_GB2312" w:cs="仿宋_GB2312"/>
          <w:kern w:val="2"/>
          <w:sz w:val="32"/>
          <w:szCs w:val="32"/>
        </w:rPr>
        <w:t>综合评分法涉及的相关证明材料（包括但不限于业绩、资质证书、项目组织架构及人员配备、实施方案等）</w:t>
      </w:r>
    </w:p>
    <w:p>
      <w:pPr>
        <w:ind w:firstLine="560"/>
        <w:rPr>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E9D596-AD1C-4526-8FD3-1B107207CE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E2D943F-0527-4069-98EB-92D226880462}"/>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embedRegular r:id="rId3" w:fontKey="{818F4E38-B475-4D3E-B5F6-F8493CFC8A7B}"/>
  </w:font>
  <w:font w:name="DokChampa">
    <w:altName w:val="Microsoft Sans Serif"/>
    <w:panose1 w:val="00000000000000000000"/>
    <w:charset w:val="DE"/>
    <w:family w:val="swiss"/>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embedRegular r:id="rId4" w:fontKey="{C3151FD2-C04A-400D-9069-58EED313B518}"/>
  </w:font>
  <w:font w:name="等线">
    <w:panose1 w:val="02010600030101010101"/>
    <w:charset w:val="86"/>
    <w:family w:val="auto"/>
    <w:pitch w:val="default"/>
    <w:sig w:usb0="A00002BF" w:usb1="38CF7CFA" w:usb2="00000016" w:usb3="00000000" w:csb0="0004000F" w:csb1="00000000"/>
    <w:embedRegular r:id="rId5" w:fontKey="{4C177D58-924C-43C7-B5A5-4AD19B93C7B4}"/>
  </w:font>
  <w:font w:name="微软雅黑">
    <w:panose1 w:val="020B0503020204020204"/>
    <w:charset w:val="86"/>
    <w:family w:val="swiss"/>
    <w:pitch w:val="default"/>
    <w:sig w:usb0="80000287" w:usb1="2ACF3C50" w:usb2="00000016" w:usb3="00000000" w:csb0="0004001F" w:csb1="00000000"/>
    <w:embedRegular r:id="rId6" w:fontKey="{23F28927-0CB8-4691-9372-4FB4C6079EE0}"/>
  </w:font>
  <w:font w:name="Microsoft Sans Serif">
    <w:panose1 w:val="020B0604020202020204"/>
    <w:charset w:val="00"/>
    <w:family w:val="auto"/>
    <w:pitch w:val="default"/>
    <w:sig w:usb0="E5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TEwNjNhMDMxN2ZmOTZjN2Q2ZjBmODkxZWYwZDIifQ=="/>
  </w:docVars>
  <w:rsids>
    <w:rsidRoot w:val="748D24BE"/>
    <w:rsid w:val="000404A0"/>
    <w:rsid w:val="00176F42"/>
    <w:rsid w:val="00400427"/>
    <w:rsid w:val="00900022"/>
    <w:rsid w:val="00A04616"/>
    <w:rsid w:val="00A523D3"/>
    <w:rsid w:val="00B04719"/>
    <w:rsid w:val="00C71B75"/>
    <w:rsid w:val="00DB2666"/>
    <w:rsid w:val="00F50122"/>
    <w:rsid w:val="0136011B"/>
    <w:rsid w:val="015C4D67"/>
    <w:rsid w:val="0297573D"/>
    <w:rsid w:val="03325BAA"/>
    <w:rsid w:val="04611A32"/>
    <w:rsid w:val="05E30FC4"/>
    <w:rsid w:val="07053DE2"/>
    <w:rsid w:val="076958CF"/>
    <w:rsid w:val="08006731"/>
    <w:rsid w:val="09092C22"/>
    <w:rsid w:val="0A88483B"/>
    <w:rsid w:val="0AAF4AA1"/>
    <w:rsid w:val="0AF73FD1"/>
    <w:rsid w:val="146F18F5"/>
    <w:rsid w:val="14D302E6"/>
    <w:rsid w:val="153A2066"/>
    <w:rsid w:val="155A7723"/>
    <w:rsid w:val="1596125A"/>
    <w:rsid w:val="16221FAB"/>
    <w:rsid w:val="17187170"/>
    <w:rsid w:val="17AB093F"/>
    <w:rsid w:val="18287B51"/>
    <w:rsid w:val="191E3203"/>
    <w:rsid w:val="193F0921"/>
    <w:rsid w:val="1B5D2593"/>
    <w:rsid w:val="1C1D316C"/>
    <w:rsid w:val="1EE7E424"/>
    <w:rsid w:val="1F3A4DE4"/>
    <w:rsid w:val="1FAC2EFC"/>
    <w:rsid w:val="215D7FE5"/>
    <w:rsid w:val="22C3645A"/>
    <w:rsid w:val="23CE7824"/>
    <w:rsid w:val="244419DD"/>
    <w:rsid w:val="24F07441"/>
    <w:rsid w:val="25C632CE"/>
    <w:rsid w:val="26377AE4"/>
    <w:rsid w:val="26FF5C8C"/>
    <w:rsid w:val="27C77F75"/>
    <w:rsid w:val="285D512C"/>
    <w:rsid w:val="29195D78"/>
    <w:rsid w:val="2B3E5823"/>
    <w:rsid w:val="2D813D46"/>
    <w:rsid w:val="2E704A6E"/>
    <w:rsid w:val="302D1741"/>
    <w:rsid w:val="30B9278C"/>
    <w:rsid w:val="314858CF"/>
    <w:rsid w:val="315D0E23"/>
    <w:rsid w:val="31AD6F2B"/>
    <w:rsid w:val="341B4186"/>
    <w:rsid w:val="34EB0394"/>
    <w:rsid w:val="356D3E44"/>
    <w:rsid w:val="35AD53E8"/>
    <w:rsid w:val="36F11118"/>
    <w:rsid w:val="370C2D55"/>
    <w:rsid w:val="3846585A"/>
    <w:rsid w:val="38661DD2"/>
    <w:rsid w:val="38A560E4"/>
    <w:rsid w:val="3AB45085"/>
    <w:rsid w:val="3B4C1C3C"/>
    <w:rsid w:val="3B594F47"/>
    <w:rsid w:val="3E3E4925"/>
    <w:rsid w:val="3E5B6389"/>
    <w:rsid w:val="403258DB"/>
    <w:rsid w:val="41320BB8"/>
    <w:rsid w:val="416E6DAF"/>
    <w:rsid w:val="41A43864"/>
    <w:rsid w:val="43675BC8"/>
    <w:rsid w:val="438D4C98"/>
    <w:rsid w:val="456D2C1B"/>
    <w:rsid w:val="45DA5969"/>
    <w:rsid w:val="4680081E"/>
    <w:rsid w:val="471D28B0"/>
    <w:rsid w:val="471D6CBB"/>
    <w:rsid w:val="47756178"/>
    <w:rsid w:val="49192FF1"/>
    <w:rsid w:val="4A387E29"/>
    <w:rsid w:val="4AA14924"/>
    <w:rsid w:val="4B2B1CF9"/>
    <w:rsid w:val="4B5950EA"/>
    <w:rsid w:val="4C222FB2"/>
    <w:rsid w:val="4D725C52"/>
    <w:rsid w:val="4E667154"/>
    <w:rsid w:val="51112C18"/>
    <w:rsid w:val="51CD20C4"/>
    <w:rsid w:val="523B6F18"/>
    <w:rsid w:val="53686628"/>
    <w:rsid w:val="54C05443"/>
    <w:rsid w:val="551730E2"/>
    <w:rsid w:val="55844F3F"/>
    <w:rsid w:val="55A97243"/>
    <w:rsid w:val="577A0ADC"/>
    <w:rsid w:val="582A10AD"/>
    <w:rsid w:val="582D1D25"/>
    <w:rsid w:val="58E56AAA"/>
    <w:rsid w:val="59201FD4"/>
    <w:rsid w:val="5C9240DE"/>
    <w:rsid w:val="5DF02E48"/>
    <w:rsid w:val="618D101E"/>
    <w:rsid w:val="61D6056A"/>
    <w:rsid w:val="621A1D68"/>
    <w:rsid w:val="63E21C31"/>
    <w:rsid w:val="63EA28B7"/>
    <w:rsid w:val="646003B3"/>
    <w:rsid w:val="6612503F"/>
    <w:rsid w:val="675D1CEC"/>
    <w:rsid w:val="68EC0C84"/>
    <w:rsid w:val="68F55EA4"/>
    <w:rsid w:val="68F70CA6"/>
    <w:rsid w:val="69430290"/>
    <w:rsid w:val="69BE3E7E"/>
    <w:rsid w:val="6A1B1867"/>
    <w:rsid w:val="6A593933"/>
    <w:rsid w:val="6B3B6A63"/>
    <w:rsid w:val="6BAD126B"/>
    <w:rsid w:val="6C0E2B05"/>
    <w:rsid w:val="6D0F33FD"/>
    <w:rsid w:val="6EF85AFE"/>
    <w:rsid w:val="70761FC0"/>
    <w:rsid w:val="748D24BE"/>
    <w:rsid w:val="74E57B43"/>
    <w:rsid w:val="76C71AD2"/>
    <w:rsid w:val="789C3726"/>
    <w:rsid w:val="78B27816"/>
    <w:rsid w:val="78E60948"/>
    <w:rsid w:val="79955109"/>
    <w:rsid w:val="7B0F1047"/>
    <w:rsid w:val="7B813497"/>
    <w:rsid w:val="7B92727B"/>
    <w:rsid w:val="7C3252FB"/>
    <w:rsid w:val="7D781125"/>
    <w:rsid w:val="7DDF1067"/>
    <w:rsid w:val="7E9106DD"/>
    <w:rsid w:val="B677D277"/>
    <w:rsid w:val="BB3E9E06"/>
    <w:rsid w:val="BFEFDC95"/>
    <w:rsid w:val="EDBABC0C"/>
    <w:rsid w:val="FF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jc w:val="left"/>
      <w:outlineLvl w:val="1"/>
    </w:pPr>
    <w:rPr>
      <w:b/>
      <w:sz w:val="3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Times New Roman" w:hAnsi="Times New Roman" w:eastAsia="Times New Roman" w:cs="Times New Roman"/>
      <w:kern w:val="0"/>
      <w:szCs w:val="21"/>
      <w:lang w:val="zh-CN" w:bidi="zh-CN"/>
    </w:rPr>
  </w:style>
  <w:style w:type="paragraph" w:styleId="3">
    <w:name w:val="Date"/>
    <w:basedOn w:val="1"/>
    <w:next w:val="1"/>
    <w:qFormat/>
    <w:uiPriority w:val="0"/>
    <w:pPr>
      <w:adjustRightInd w:val="0"/>
      <w:spacing w:line="360" w:lineRule="atLeast"/>
    </w:pPr>
    <w:rPr>
      <w:rFonts w:ascii="宋体" w:hAnsi="Times New Roman"/>
      <w:kern w:val="0"/>
      <w:sz w:val="24"/>
      <w:szCs w:val="20"/>
    </w:rPr>
  </w:style>
  <w:style w:type="paragraph" w:styleId="6">
    <w:name w:val="table of authorities"/>
    <w:next w:val="1"/>
    <w:unhideWhenUsed/>
    <w:qFormat/>
    <w:uiPriority w:val="99"/>
    <w:pPr>
      <w:widowControl w:val="0"/>
      <w:spacing w:line="360" w:lineRule="auto"/>
      <w:ind w:firstLine="200" w:firstLineChars="200"/>
      <w:jc w:val="both"/>
    </w:pPr>
    <w:rPr>
      <w:rFonts w:ascii="Times New Roman" w:hAnsi="Times New Roman" w:eastAsia="仿宋_GB2312" w:cs="Times New Roman"/>
      <w:kern w:val="2"/>
      <w:sz w:val="28"/>
      <w:szCs w:val="28"/>
      <w:lang w:val="en-US" w:eastAsia="zh-CN" w:bidi="ar-SA"/>
    </w:rPr>
  </w:style>
  <w:style w:type="paragraph" w:styleId="7">
    <w:name w:val="Normal Indent"/>
    <w:qFormat/>
    <w:uiPriority w:val="0"/>
    <w:pPr>
      <w:widowControl w:val="0"/>
      <w:spacing w:before="156" w:beforeLines="50" w:line="360" w:lineRule="auto"/>
      <w:ind w:firstLine="200" w:firstLineChars="200"/>
      <w:jc w:val="both"/>
    </w:pPr>
    <w:rPr>
      <w:rFonts w:ascii="仿宋_GB2312" w:eastAsia="仿宋_GB2312" w:hAnsiTheme="minorHAnsi" w:cstheme="minorBidi"/>
      <w:kern w:val="2"/>
      <w:sz w:val="24"/>
      <w:szCs w:val="32"/>
      <w:lang w:val="en-US" w:eastAsia="zh-CN" w:bidi="ar-SA"/>
    </w:rPr>
  </w:style>
  <w:style w:type="paragraph" w:styleId="8">
    <w:name w:val="annotation text"/>
    <w:basedOn w:val="1"/>
    <w:semiHidden/>
    <w:unhideWhenUsed/>
    <w:qFormat/>
    <w:uiPriority w:val="0"/>
    <w:pPr>
      <w:jc w:val="left"/>
    </w:pPr>
  </w:style>
  <w:style w:type="paragraph" w:styleId="9">
    <w:name w:val="Body Text Indent"/>
    <w:basedOn w:val="1"/>
    <w:next w:val="2"/>
    <w:unhideWhenUsed/>
    <w:qFormat/>
    <w:uiPriority w:val="0"/>
    <w:pPr>
      <w:spacing w:after="120"/>
      <w:ind w:left="420" w:leftChars="200"/>
    </w:pPr>
  </w:style>
  <w:style w:type="paragraph" w:styleId="10">
    <w:name w:val="Plain Text"/>
    <w:basedOn w:val="1"/>
    <w:qFormat/>
    <w:uiPriority w:val="0"/>
    <w:rPr>
      <w:rFonts w:ascii="宋体" w:hAnsi="Courier New"/>
      <w:szCs w:val="20"/>
    </w:rPr>
  </w:style>
  <w:style w:type="paragraph" w:styleId="11">
    <w:name w:val="footer"/>
    <w:basedOn w:val="1"/>
    <w:link w:val="36"/>
    <w:qFormat/>
    <w:uiPriority w:val="0"/>
    <w:pPr>
      <w:tabs>
        <w:tab w:val="center" w:pos="4153"/>
        <w:tab w:val="right" w:pos="8306"/>
      </w:tabs>
      <w:snapToGrid w:val="0"/>
      <w:jc w:val="left"/>
    </w:pPr>
    <w:rPr>
      <w:sz w:val="18"/>
      <w:szCs w:val="18"/>
    </w:rPr>
  </w:style>
  <w:style w:type="paragraph" w:styleId="12">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cs="Times New Roman"/>
      <w:kern w:val="0"/>
      <w:sz w:val="24"/>
      <w:szCs w:val="24"/>
    </w:rPr>
  </w:style>
  <w:style w:type="paragraph" w:styleId="14">
    <w:name w:val="Body Text First Indent 2"/>
    <w:basedOn w:val="9"/>
    <w:qFormat/>
    <w:uiPriority w:val="0"/>
    <w:pPr>
      <w:widowControl/>
      <w:tabs>
        <w:tab w:val="left" w:pos="1078"/>
        <w:tab w:val="left" w:pos="1176"/>
        <w:tab w:val="left" w:pos="1638"/>
        <w:tab w:val="left" w:pos="3920"/>
        <w:tab w:val="left" w:pos="5670"/>
      </w:tabs>
      <w:adjustRightInd w:val="0"/>
      <w:snapToGrid w:val="0"/>
      <w:spacing w:before="120" w:after="180" w:line="312" w:lineRule="auto"/>
      <w:ind w:left="200" w:firstLine="200" w:firstLineChars="200"/>
      <w:jc w:val="left"/>
    </w:pPr>
    <w:rPr>
      <w:rFonts w:ascii="Arial" w:hAnsi="Arial"/>
      <w:sz w:val="2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annotation reference"/>
    <w:basedOn w:val="17"/>
    <w:qFormat/>
    <w:uiPriority w:val="0"/>
    <w:rPr>
      <w:sz w:val="21"/>
      <w:szCs w:val="21"/>
    </w:rPr>
  </w:style>
  <w:style w:type="paragraph" w:customStyle="1" w:styleId="20">
    <w:name w:val="无间隔1"/>
    <w:qFormat/>
    <w:uiPriority w:val="99"/>
    <w:pPr>
      <w:widowControl w:val="0"/>
      <w:jc w:val="center"/>
    </w:pPr>
    <w:rPr>
      <w:rFonts w:ascii="Times New Roman" w:hAnsi="Times New Roman" w:eastAsia="宋体" w:cs="黑体"/>
      <w:kern w:val="2"/>
      <w:sz w:val="21"/>
      <w:szCs w:val="21"/>
      <w:lang w:val="en-US" w:eastAsia="zh-CN" w:bidi="ar-SA"/>
    </w:rPr>
  </w:style>
  <w:style w:type="character" w:customStyle="1" w:styleId="21">
    <w:name w:val="NormalCharacter"/>
    <w:semiHidden/>
    <w:qFormat/>
    <w:uiPriority w:val="0"/>
    <w:rPr>
      <w:kern w:val="2"/>
      <w:sz w:val="21"/>
      <w:szCs w:val="24"/>
      <w:lang w:val="en-US" w:eastAsia="zh-CN" w:bidi="ar-SA"/>
    </w:rPr>
  </w:style>
  <w:style w:type="character" w:customStyle="1" w:styleId="22">
    <w:name w:val="font41"/>
    <w:qFormat/>
    <w:uiPriority w:val="0"/>
    <w:rPr>
      <w:rFonts w:hint="eastAsia" w:ascii="宋体" w:hAnsi="宋体" w:eastAsia="宋体" w:cs="宋体"/>
      <w:color w:val="000000"/>
      <w:sz w:val="24"/>
      <w:szCs w:val="24"/>
      <w:u w:val="none"/>
    </w:rPr>
  </w:style>
  <w:style w:type="character" w:customStyle="1" w:styleId="23">
    <w:name w:val="font61"/>
    <w:basedOn w:val="17"/>
    <w:qFormat/>
    <w:uiPriority w:val="0"/>
    <w:rPr>
      <w:rFonts w:hint="eastAsia" w:ascii="仿宋" w:hAnsi="仿宋" w:eastAsia="仿宋" w:cs="仿宋"/>
      <w:color w:val="000000"/>
      <w:sz w:val="18"/>
      <w:szCs w:val="18"/>
      <w:u w:val="none"/>
    </w:rPr>
  </w:style>
  <w:style w:type="character" w:customStyle="1" w:styleId="24">
    <w:name w:val="font01"/>
    <w:basedOn w:val="17"/>
    <w:qFormat/>
    <w:uiPriority w:val="0"/>
    <w:rPr>
      <w:rFonts w:hint="eastAsia" w:ascii="仿宋" w:hAnsi="仿宋" w:eastAsia="仿宋" w:cs="仿宋"/>
      <w:color w:val="000000"/>
      <w:sz w:val="18"/>
      <w:szCs w:val="18"/>
      <w:u w:val="none"/>
    </w:rPr>
  </w:style>
  <w:style w:type="character" w:customStyle="1" w:styleId="25">
    <w:name w:val="font81"/>
    <w:basedOn w:val="17"/>
    <w:qFormat/>
    <w:uiPriority w:val="0"/>
    <w:rPr>
      <w:rFonts w:hint="eastAsia" w:ascii="仿宋" w:hAnsi="仿宋" w:eastAsia="仿宋" w:cs="仿宋"/>
      <w:b/>
      <w:bCs/>
      <w:color w:val="FF0000"/>
      <w:sz w:val="18"/>
      <w:szCs w:val="18"/>
      <w:u w:val="none"/>
    </w:rPr>
  </w:style>
  <w:style w:type="character" w:customStyle="1" w:styleId="26">
    <w:name w:val="font21"/>
    <w:basedOn w:val="17"/>
    <w:qFormat/>
    <w:uiPriority w:val="0"/>
    <w:rPr>
      <w:rFonts w:hint="eastAsia" w:ascii="仿宋" w:hAnsi="仿宋" w:eastAsia="仿宋" w:cs="仿宋"/>
      <w:b/>
      <w:bCs/>
      <w:color w:val="000000"/>
      <w:sz w:val="18"/>
      <w:szCs w:val="18"/>
      <w:u w:val="none"/>
    </w:rPr>
  </w:style>
  <w:style w:type="character" w:customStyle="1" w:styleId="27">
    <w:name w:val="font91"/>
    <w:basedOn w:val="17"/>
    <w:qFormat/>
    <w:uiPriority w:val="0"/>
    <w:rPr>
      <w:rFonts w:hint="eastAsia" w:ascii="仿宋" w:hAnsi="仿宋" w:eastAsia="仿宋" w:cs="仿宋"/>
      <w:color w:val="000000"/>
      <w:sz w:val="18"/>
      <w:szCs w:val="18"/>
      <w:u w:val="none"/>
    </w:rPr>
  </w:style>
  <w:style w:type="paragraph" w:customStyle="1" w:styleId="28">
    <w:name w:val="TOC 标题1"/>
    <w:basedOn w:val="29"/>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29">
    <w:name w:val="【正文】"/>
    <w:basedOn w:val="1"/>
    <w:qFormat/>
    <w:uiPriority w:val="0"/>
    <w:pPr>
      <w:ind w:firstLine="480" w:firstLineChars="200"/>
    </w:pPr>
    <w:rPr>
      <w:rFonts w:ascii="Calibri" w:hAnsi="Calibri" w:cs="DokChampa"/>
      <w:sz w:val="24"/>
    </w:rPr>
  </w:style>
  <w:style w:type="paragraph" w:customStyle="1" w:styleId="30">
    <w:name w:val="Text"/>
    <w:basedOn w:val="1"/>
    <w:qFormat/>
    <w:uiPriority w:val="0"/>
    <w:pPr>
      <w:ind w:left="1021"/>
    </w:pPr>
    <w:rPr>
      <w:rFonts w:ascii="Calibri" w:hAnsi="Calibri"/>
    </w:rPr>
  </w:style>
  <w:style w:type="paragraph" w:styleId="31">
    <w:name w:val="List Paragraph"/>
    <w:basedOn w:val="1"/>
    <w:qFormat/>
    <w:uiPriority w:val="34"/>
    <w:pPr>
      <w:ind w:firstLine="420" w:firstLineChars="200"/>
    </w:p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Char Char Char Char Char Char Char1 Char"/>
    <w:basedOn w:val="1"/>
    <w:qFormat/>
    <w:uiPriority w:val="0"/>
    <w:rPr>
      <w:rFonts w:ascii="Tahoma" w:hAnsi="Tahoma"/>
      <w:sz w:val="24"/>
      <w:szCs w:val="20"/>
    </w:rPr>
  </w:style>
  <w:style w:type="paragraph" w:customStyle="1" w:styleId="34">
    <w:name w:val="xl31"/>
    <w:basedOn w:val="1"/>
    <w:qFormat/>
    <w:uiPriority w:val="0"/>
    <w:pPr>
      <w:widowControl/>
      <w:spacing w:before="100" w:beforeAutospacing="1" w:after="100" w:afterAutospacing="1"/>
      <w:jc w:val="center"/>
    </w:pPr>
    <w:rPr>
      <w:rFonts w:ascii="宋体" w:hAnsi="宋体"/>
      <w:b/>
      <w:bCs/>
      <w:kern w:val="0"/>
      <w:sz w:val="28"/>
      <w:szCs w:val="28"/>
    </w:rPr>
  </w:style>
  <w:style w:type="character" w:customStyle="1" w:styleId="35">
    <w:name w:val="页眉 字符"/>
    <w:basedOn w:val="17"/>
    <w:link w:val="12"/>
    <w:qFormat/>
    <w:uiPriority w:val="0"/>
    <w:rPr>
      <w:rFonts w:asciiTheme="minorHAnsi" w:hAnsiTheme="minorHAnsi" w:eastAsiaTheme="minorEastAsia" w:cstheme="minorBidi"/>
      <w:kern w:val="2"/>
      <w:sz w:val="18"/>
      <w:szCs w:val="18"/>
    </w:rPr>
  </w:style>
  <w:style w:type="character" w:customStyle="1" w:styleId="36">
    <w:name w:val="页脚 字符"/>
    <w:basedOn w:val="17"/>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14061</Words>
  <Characters>15773</Characters>
  <Lines>120</Lines>
  <Paragraphs>33</Paragraphs>
  <TotalTime>84</TotalTime>
  <ScaleCrop>false</ScaleCrop>
  <LinksUpToDate>false</LinksUpToDate>
  <CharactersWithSpaces>16129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2022-05-16T13:45:00Z</dcterms:created>
  <dc:creator>我是帕丁顿</dc:creator>
  <cp:lastModifiedBy>123</cp:lastModifiedBy>
  <cp:lastPrinted>2022-05-16T15:57:00Z</cp:lastPrinted>
  <dcterms:modified xsi:type="dcterms:W3CDTF">2022-12-22T06:28:38Z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58EB928CC2FE4F99AF5AA666C307D940</vt:lpwstr>
  </property>
</Properties>
</file>