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6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合肥市大数据资产运营有限公司</w:t>
      </w:r>
    </w:p>
    <w:p>
      <w:pPr>
        <w:pStyle w:val="3"/>
        <w:keepNext/>
        <w:keepLines/>
        <w:pageBreakBefore w:val="0"/>
        <w:widowControl w:val="0"/>
        <w:kinsoku/>
        <w:wordWrap/>
        <w:overflowPunct/>
        <w:topLinePunct w:val="0"/>
        <w:autoSpaceDE/>
        <w:autoSpaceDN/>
        <w:bidi w:val="0"/>
        <w:adjustRightInd/>
        <w:snapToGrid/>
        <w:spacing w:before="0" w:after="0" w:line="660" w:lineRule="exact"/>
        <w:ind w:left="0" w:leftChars="0" w:firstLine="0" w:firstLineChars="0"/>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常年法律顾问项目询价公告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仿宋_GB2312"/>
          <w:i w:val="0"/>
          <w:iCs w:val="0"/>
          <w:caps w:val="0"/>
          <w:color w:val="333333"/>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合肥市大数据资产运营有限公司是由合肥市政府批准成立的国有全资企业</w:t>
      </w:r>
      <w:r>
        <w:rPr>
          <w:rFonts w:hint="eastAsia" w:ascii="仿宋_GB2312" w:hAnsi="宋体" w:eastAsia="仿宋_GB2312" w:cs="仿宋_GB2312"/>
          <w:i w:val="0"/>
          <w:iCs w:val="0"/>
          <w:caps w:val="0"/>
          <w:color w:val="333333"/>
          <w:spacing w:val="0"/>
          <w:sz w:val="31"/>
          <w:szCs w:val="31"/>
          <w:shd w:val="clear" w:fill="FFFFFF"/>
        </w:rPr>
        <w:t>。公司由政府授权，以政务数据为核心，负责政府重大示范性应用工程建设、全市数据资产平台运营及大数据生态体系的培育，为合肥市打造国内领先的大数据产业高地奠定基础。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rPr>
        <w:t>为遴选优秀的法律事务机构为公司及公司重点子企业提供常年法律顾问服务，</w:t>
      </w:r>
      <w:r>
        <w:rPr>
          <w:rFonts w:hint="eastAsia" w:ascii="仿宋_GB2312" w:hAnsi="宋体" w:eastAsia="仿宋_GB2312" w:cs="仿宋_GB2312"/>
          <w:i w:val="0"/>
          <w:iCs w:val="0"/>
          <w:caps w:val="0"/>
          <w:color w:val="333333"/>
          <w:spacing w:val="0"/>
          <w:sz w:val="31"/>
          <w:szCs w:val="31"/>
          <w:shd w:val="clear" w:fill="FFFFFF"/>
          <w:lang w:val="en-US" w:eastAsia="zh-CN"/>
        </w:rPr>
        <w:t>公司本次公开招采，参与遴选的单位</w:t>
      </w:r>
      <w:r>
        <w:rPr>
          <w:rFonts w:hint="eastAsia" w:ascii="仿宋_GB2312" w:hAnsi="宋体" w:eastAsia="仿宋_GB2312" w:cs="仿宋_GB2312"/>
          <w:i w:val="0"/>
          <w:iCs w:val="0"/>
          <w:caps w:val="0"/>
          <w:color w:val="333333"/>
          <w:spacing w:val="0"/>
          <w:sz w:val="31"/>
          <w:szCs w:val="31"/>
          <w:shd w:val="clear" w:fill="FFFFFF"/>
        </w:rPr>
        <w:t>应具备法律规定的从业资格及所办事项相适应的专业能力，具有良好的职业道德，在业界享有较高的知名度。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项目概况</w:t>
      </w:r>
    </w:p>
    <w:p>
      <w:pPr>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项目名称：公司及公司重点子企业常年法律顾问服务</w:t>
      </w:r>
    </w:p>
    <w:p>
      <w:pPr>
        <w:pStyle w:val="2"/>
        <w:pageBreakBefore w:val="0"/>
        <w:kinsoku/>
        <w:wordWrap/>
        <w:overflowPunct/>
        <w:topLinePunct w:val="0"/>
        <w:bidi w:val="0"/>
        <w:snapToGrid/>
        <w:spacing w:line="560" w:lineRule="exact"/>
        <w:ind w:left="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项目预算：10万元（不含）/年，报价不得高于预算，否则为无效报价；</w:t>
      </w:r>
    </w:p>
    <w:p>
      <w:pPr>
        <w:pStyle w:val="2"/>
        <w:pageBreakBefore w:val="0"/>
        <w:kinsoku/>
        <w:wordWrap/>
        <w:overflowPunct/>
        <w:topLinePunct w:val="0"/>
        <w:bidi w:val="0"/>
        <w:snapToGrid/>
        <w:spacing w:line="560" w:lineRule="exact"/>
        <w:ind w:left="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常年法律顾问每周坐班1次，派驻坐班的律师需专职律师，非实习律师，每次半天。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lang w:eastAsia="zh-CN"/>
        </w:rPr>
        <w:t>常年法律顾问</w:t>
      </w:r>
      <w:r>
        <w:rPr>
          <w:rFonts w:hint="eastAsia" w:ascii="黑体" w:hAnsi="黑体" w:eastAsia="黑体" w:cs="黑体"/>
          <w:b w:val="0"/>
          <w:bCs w:val="0"/>
          <w:sz w:val="32"/>
          <w:szCs w:val="32"/>
        </w:rPr>
        <w:t>应当具备下列条件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政治素质高，拥护党的理论和路线方针政策，一般应当是中国共产党党员；</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具有良好职业道德和社会责任感；</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在所从事的法学教学、法学研究、法律实践等领域具有一定影响和经验的法学专家，或者具有5年以上执业经验、专业能力较强的律师；</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严格遵纪守法，未受过刑事处罚，受聘担任法律顾问的律师还应当未受过司法行政部门的行政处罚或者律师协会的行业处分；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5.公司规定的其他条件。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b w:val="0"/>
          <w:bCs w:val="0"/>
          <w:sz w:val="32"/>
          <w:szCs w:val="32"/>
          <w:lang w:val="en-US" w:eastAsia="zh-CN"/>
        </w:rPr>
        <w:t>常年法律顾问在履行法律顾问职责期间享有下列权利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1.依据事实和法律，提出法律意见；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2.获得与履行职责相关的信息资料、文件和其他必需的工作条件；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3.获得约定的工作报酬和待遇；</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4.法律规定的其他权利。</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四、外聘常年法律顾问在履行法律顾问职责期间承担下列义务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1.遵守保密制度，不得泄漏党和国家的秘密、工作秘密、商业秘密以及其他不应公开的信息，不得擅自对外透露所承担的工作内容；</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2.不得利用在工作期间获得的非公开信息或者便利条件，为本人及所在单位或者他人牟取利益；</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3.不得以法律顾问的身份从事商业活动以及与法律顾问职责无关的活动；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4.不得接受其他当事人委托，办理与聘任单位有利益冲突的法律事务，法律顾问与所承办的业务有利害关系、可能影响公正履行职责的，应当回避；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5.其他义务。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外聘常年法律顾问玩忽职守、徇私舞弊的致使公司遭受损失的，将予以解聘，并记入法律顾问工作档案和个人诚信档案，通报律师协会或者所在单位，依法追究责任。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五、评比方法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公司对外聘常年法律顾问实行合同管理，合同一年一签，每年将对其服务质量进行一次评价，评价达标后可续签。本次遴选采用</w:t>
      </w:r>
      <w:r>
        <w:rPr>
          <w:rFonts w:hint="eastAsia" w:ascii="仿宋_GB2312" w:hAnsi="仿宋_GB2312" w:eastAsia="仿宋_GB2312" w:cs="仿宋_GB2312"/>
          <w:b/>
          <w:bCs/>
          <w:sz w:val="32"/>
          <w:szCs w:val="32"/>
          <w:lang w:val="en-US" w:eastAsia="zh-CN"/>
        </w:rPr>
        <w:t>综合评比法</w:t>
      </w:r>
      <w:r>
        <w:rPr>
          <w:rFonts w:hint="eastAsia" w:ascii="仿宋_GB2312" w:hAnsi="仿宋_GB2312" w:eastAsia="仿宋_GB2312" w:cs="仿宋_GB2312"/>
          <w:sz w:val="32"/>
          <w:szCs w:val="32"/>
          <w:lang w:val="en-US" w:eastAsia="zh-CN"/>
        </w:rPr>
        <w:t>，具体评分细则如下：</w:t>
      </w:r>
    </w:p>
    <w:p>
      <w:pPr>
        <w:pageBreakBefore w:val="0"/>
        <w:kinsoku/>
        <w:wordWrap/>
        <w:overflowPunct/>
        <w:topLinePunct w:val="0"/>
        <w:bidi w:val="0"/>
        <w:snapToGrid/>
        <w:spacing w:line="560" w:lineRule="exact"/>
        <w:ind w:firstLine="0" w:firstLineChars="0"/>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cs="仿宋_GB2312"/>
          <w:sz w:val="32"/>
          <w:szCs w:val="32"/>
          <w:lang w:val="en-US" w:eastAsia="zh-CN"/>
        </w:rPr>
        <w:sectPr>
          <w:pgSz w:w="11906" w:h="16838"/>
          <w:pgMar w:top="1440" w:right="1803" w:bottom="1440" w:left="1803" w:header="851" w:footer="992" w:gutter="0"/>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auto"/>
        <w:rPr>
          <w:rFonts w:hint="default" w:ascii="仿宋_GB2312" w:hAnsi="仿宋_GB2312" w:eastAsia="仿宋_GB2312" w:cs="仿宋_GB2312"/>
          <w:sz w:val="32"/>
          <w:szCs w:val="32"/>
          <w:lang w:val="en-US" w:eastAsia="zh-CN"/>
        </w:rPr>
      </w:pPr>
    </w:p>
    <w:tbl>
      <w:tblPr>
        <w:tblStyle w:val="7"/>
        <w:tblW w:w="13557" w:type="dxa"/>
        <w:tblInd w:w="93" w:type="dxa"/>
        <w:tblLayout w:type="fixed"/>
        <w:tblCellMar>
          <w:top w:w="0" w:type="dxa"/>
          <w:left w:w="108" w:type="dxa"/>
          <w:bottom w:w="0" w:type="dxa"/>
          <w:right w:w="108" w:type="dxa"/>
        </w:tblCellMar>
      </w:tblPr>
      <w:tblGrid>
        <w:gridCol w:w="538"/>
        <w:gridCol w:w="2525"/>
        <w:gridCol w:w="1749"/>
        <w:gridCol w:w="8745"/>
      </w:tblGrid>
      <w:tr>
        <w:tblPrEx>
          <w:tblCellMar>
            <w:top w:w="0" w:type="dxa"/>
            <w:left w:w="108" w:type="dxa"/>
            <w:bottom w:w="0" w:type="dxa"/>
            <w:right w:w="108" w:type="dxa"/>
          </w:tblCellMar>
        </w:tblPrEx>
        <w:trPr>
          <w:trHeight w:val="90"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252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评标内容</w:t>
            </w:r>
          </w:p>
        </w:tc>
        <w:tc>
          <w:tcPr>
            <w:tcW w:w="174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评标分值</w:t>
            </w:r>
          </w:p>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（满分）</w:t>
            </w: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评分标准</w:t>
            </w:r>
          </w:p>
        </w:tc>
      </w:tr>
      <w:tr>
        <w:tblPrEx>
          <w:tblCellMar>
            <w:top w:w="0" w:type="dxa"/>
            <w:left w:w="108" w:type="dxa"/>
            <w:bottom w:w="0" w:type="dxa"/>
            <w:right w:w="108" w:type="dxa"/>
          </w:tblCellMar>
        </w:tblPrEx>
        <w:trPr>
          <w:trHeight w:val="847" w:hRule="atLeast"/>
        </w:trPr>
        <w:tc>
          <w:tcPr>
            <w:tcW w:w="5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52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费用报价</w:t>
            </w:r>
          </w:p>
        </w:tc>
        <w:tc>
          <w:tcPr>
            <w:tcW w:w="174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default"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rPr>
              <w:t>15</w:t>
            </w: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①</w:t>
            </w:r>
            <w:r>
              <w:rPr>
                <w:rFonts w:hint="eastAsia" w:ascii="仿宋_GB2312" w:hAnsi="仿宋_GB2312" w:eastAsia="仿宋_GB2312" w:cs="仿宋_GB2312"/>
                <w:kern w:val="0"/>
                <w:sz w:val="28"/>
                <w:szCs w:val="28"/>
              </w:rPr>
              <w:t>每年度法律顾问服务费用不超过10万元，所有有效投标报价的平均价为基准评标价，等于基准评标价得1</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分，在此基础上，每减少一万（不足一万按一万计算）加1分，最高得</w:t>
            </w:r>
            <w:r>
              <w:rPr>
                <w:rFonts w:hint="eastAsia" w:ascii="仿宋_GB2312" w:hAnsi="仿宋_GB2312" w:eastAsia="仿宋_GB2312" w:cs="仿宋_GB2312"/>
                <w:kern w:val="0"/>
                <w:sz w:val="28"/>
                <w:szCs w:val="28"/>
                <w:lang w:val="en-US" w:eastAsia="zh-CN"/>
              </w:rPr>
              <w:t>15</w:t>
            </w:r>
            <w:r>
              <w:rPr>
                <w:rFonts w:hint="eastAsia" w:ascii="仿宋_GB2312" w:hAnsi="仿宋_GB2312" w:eastAsia="仿宋_GB2312" w:cs="仿宋_GB2312"/>
                <w:kern w:val="0"/>
                <w:sz w:val="28"/>
                <w:szCs w:val="28"/>
              </w:rPr>
              <w:t>分；每多一万（不足一万按一万计算）减1分，最低得</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分。</w:t>
            </w:r>
          </w:p>
        </w:tc>
      </w:tr>
      <w:tr>
        <w:tblPrEx>
          <w:tblCellMar>
            <w:top w:w="0" w:type="dxa"/>
            <w:left w:w="108" w:type="dxa"/>
            <w:bottom w:w="0" w:type="dxa"/>
            <w:right w:w="108" w:type="dxa"/>
          </w:tblCellMar>
        </w:tblPrEx>
        <w:trPr>
          <w:trHeight w:val="705" w:hRule="atLeast"/>
        </w:trPr>
        <w:tc>
          <w:tcPr>
            <w:tcW w:w="538"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525"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事务所基本情况</w:t>
            </w:r>
          </w:p>
        </w:tc>
        <w:tc>
          <w:tcPr>
            <w:tcW w:w="1749"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0</w:t>
            </w: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②</w:t>
            </w:r>
            <w:r>
              <w:rPr>
                <w:rFonts w:hint="eastAsia" w:ascii="仿宋_GB2312" w:hAnsi="仿宋_GB2312" w:eastAsia="仿宋_GB2312" w:cs="仿宋_GB2312"/>
                <w:kern w:val="0"/>
                <w:sz w:val="28"/>
                <w:szCs w:val="28"/>
              </w:rPr>
              <w:t>投标人执业律师总数：1</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0人及以上得2分，每增加30人加1分，最高为5分。</w:t>
            </w:r>
          </w:p>
        </w:tc>
      </w:tr>
      <w:tr>
        <w:tblPrEx>
          <w:tblCellMar>
            <w:top w:w="0" w:type="dxa"/>
            <w:left w:w="108" w:type="dxa"/>
            <w:bottom w:w="0" w:type="dxa"/>
            <w:right w:w="108" w:type="dxa"/>
          </w:tblCellMar>
        </w:tblPrEx>
        <w:trPr>
          <w:trHeight w:val="705" w:hRule="atLeast"/>
        </w:trPr>
        <w:tc>
          <w:tcPr>
            <w:tcW w:w="538"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③投标人为安徽省国资委法律中介机构备选库的律师事务所得8分。 </w:t>
            </w:r>
          </w:p>
        </w:tc>
      </w:tr>
      <w:tr>
        <w:tblPrEx>
          <w:tblCellMar>
            <w:top w:w="0" w:type="dxa"/>
            <w:left w:w="108" w:type="dxa"/>
            <w:bottom w:w="0" w:type="dxa"/>
            <w:right w:w="108" w:type="dxa"/>
          </w:tblCellMar>
        </w:tblPrEx>
        <w:trPr>
          <w:trHeight w:val="705" w:hRule="atLeast"/>
        </w:trPr>
        <w:tc>
          <w:tcPr>
            <w:tcW w:w="538"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④</w:t>
            </w:r>
            <w:r>
              <w:rPr>
                <w:rFonts w:hint="eastAsia" w:ascii="仿宋_GB2312" w:hAnsi="仿宋_GB2312" w:eastAsia="仿宋_GB2312" w:cs="仿宋_GB2312"/>
                <w:kern w:val="0"/>
                <w:sz w:val="28"/>
                <w:szCs w:val="28"/>
              </w:rPr>
              <w:t>投标人（含总部）获得全国性优秀律师事务所荣誉的得3分</w:t>
            </w:r>
            <w:r>
              <w:rPr>
                <w:rFonts w:hint="eastAsia" w:ascii="仿宋_GB2312" w:hAnsi="仿宋_GB2312" w:eastAsia="仿宋_GB2312" w:cs="仿宋_GB2312"/>
                <w:kern w:val="0"/>
                <w:sz w:val="28"/>
                <w:szCs w:val="28"/>
                <w:lang w:val="en-US" w:eastAsia="zh-CN"/>
              </w:rPr>
              <w:t>或</w:t>
            </w:r>
            <w:r>
              <w:rPr>
                <w:rFonts w:hint="eastAsia" w:ascii="仿宋_GB2312" w:hAnsi="仿宋_GB2312" w:eastAsia="仿宋_GB2312" w:cs="仿宋_GB2312"/>
                <w:kern w:val="0"/>
                <w:sz w:val="28"/>
                <w:szCs w:val="28"/>
              </w:rPr>
              <w:t xml:space="preserve">投标人（含总部）获得司法部或省司法厅奖项的得3分。 </w:t>
            </w:r>
          </w:p>
        </w:tc>
      </w:tr>
      <w:tr>
        <w:tblPrEx>
          <w:tblCellMar>
            <w:top w:w="0" w:type="dxa"/>
            <w:left w:w="108" w:type="dxa"/>
            <w:bottom w:w="0" w:type="dxa"/>
            <w:right w:w="108" w:type="dxa"/>
          </w:tblCellMar>
        </w:tblPrEx>
        <w:trPr>
          <w:trHeight w:val="90" w:hRule="atLeast"/>
        </w:trPr>
        <w:tc>
          <w:tcPr>
            <w:tcW w:w="538"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⑤</w:t>
            </w:r>
            <w:r>
              <w:rPr>
                <w:rFonts w:hint="eastAsia" w:ascii="仿宋_GB2312" w:hAnsi="仿宋_GB2312" w:eastAsia="仿宋_GB2312" w:cs="仿宋_GB2312"/>
                <w:kern w:val="0"/>
                <w:sz w:val="28"/>
                <w:szCs w:val="28"/>
              </w:rPr>
              <w:t>投标人近</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rPr>
              <w:t>年内未被行业协会、司法行政等部门给予行业处分等处罚，得</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分。 该证明由投标人提供。</w:t>
            </w:r>
          </w:p>
        </w:tc>
      </w:tr>
      <w:tr>
        <w:tblPrEx>
          <w:tblCellMar>
            <w:top w:w="0" w:type="dxa"/>
            <w:left w:w="108" w:type="dxa"/>
            <w:bottom w:w="0" w:type="dxa"/>
            <w:right w:w="108" w:type="dxa"/>
          </w:tblCellMar>
        </w:tblPrEx>
        <w:trPr>
          <w:trHeight w:val="705" w:hRule="atLeast"/>
        </w:trPr>
        <w:tc>
          <w:tcPr>
            <w:tcW w:w="538"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525"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相关从业经验</w:t>
            </w:r>
          </w:p>
        </w:tc>
        <w:tc>
          <w:tcPr>
            <w:tcW w:w="1749"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⑥投标人近5年至少办理过5件安徽省属、合肥市属国有项目法律服务（指非诉讼专项或常年顾问）的，得5分；每增加1件得1分，最高为10分。 </w:t>
            </w:r>
          </w:p>
        </w:tc>
      </w:tr>
      <w:tr>
        <w:tblPrEx>
          <w:tblCellMar>
            <w:top w:w="0" w:type="dxa"/>
            <w:left w:w="108" w:type="dxa"/>
            <w:bottom w:w="0" w:type="dxa"/>
            <w:right w:w="108" w:type="dxa"/>
          </w:tblCellMar>
        </w:tblPrEx>
        <w:trPr>
          <w:trHeight w:val="705" w:hRule="atLeast"/>
        </w:trPr>
        <w:tc>
          <w:tcPr>
            <w:tcW w:w="538"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⑦投标人近5年至少办理过5件安徽省属、合肥市属国有企业法律事务（指诉讼代理）得5分，每增加1件得1分，最高为10分。 </w:t>
            </w:r>
          </w:p>
        </w:tc>
      </w:tr>
      <w:tr>
        <w:tblPrEx>
          <w:tblCellMar>
            <w:top w:w="0" w:type="dxa"/>
            <w:left w:w="108" w:type="dxa"/>
            <w:bottom w:w="0" w:type="dxa"/>
            <w:right w:w="108" w:type="dxa"/>
          </w:tblCellMar>
        </w:tblPrEx>
        <w:trPr>
          <w:trHeight w:val="705" w:hRule="atLeast"/>
        </w:trPr>
        <w:tc>
          <w:tcPr>
            <w:tcW w:w="538"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⑧</w:t>
            </w:r>
            <w:r>
              <w:rPr>
                <w:rFonts w:hint="eastAsia" w:ascii="仿宋_GB2312" w:hAnsi="仿宋_GB2312" w:eastAsia="仿宋_GB2312" w:cs="仿宋_GB2312"/>
                <w:kern w:val="0"/>
                <w:sz w:val="28"/>
                <w:szCs w:val="28"/>
              </w:rPr>
              <w:t>投标人拟指派顾问团队成员近5年有办理过10件安徽省属、合肥市属国有企业法律事务（包括诉讼和非诉专项或常年顾问）得2分，超过10件的，每增加一件得2分，此项得分合计不超过10分。</w:t>
            </w:r>
          </w:p>
        </w:tc>
      </w:tr>
      <w:tr>
        <w:tblPrEx>
          <w:tblCellMar>
            <w:top w:w="0" w:type="dxa"/>
            <w:left w:w="108" w:type="dxa"/>
            <w:bottom w:w="0" w:type="dxa"/>
            <w:right w:w="108" w:type="dxa"/>
          </w:tblCellMar>
        </w:tblPrEx>
        <w:trPr>
          <w:trHeight w:val="705" w:hRule="atLeast"/>
        </w:trPr>
        <w:tc>
          <w:tcPr>
            <w:tcW w:w="538"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525"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派往聘方的顾问团队背景及工作方案</w:t>
            </w:r>
          </w:p>
        </w:tc>
        <w:tc>
          <w:tcPr>
            <w:tcW w:w="1749" w:type="dxa"/>
            <w:vMerge w:val="restart"/>
            <w:tcBorders>
              <w:top w:val="single" w:color="auto" w:sz="4" w:space="0"/>
              <w:left w:val="nil"/>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5</w:t>
            </w: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⑨</w:t>
            </w:r>
            <w:r>
              <w:rPr>
                <w:rFonts w:hint="eastAsia" w:ascii="仿宋_GB2312" w:hAnsi="仿宋_GB2312" w:eastAsia="仿宋_GB2312" w:cs="仿宋_GB2312"/>
                <w:kern w:val="0"/>
                <w:sz w:val="28"/>
                <w:szCs w:val="28"/>
              </w:rPr>
              <w:t>投标人拟指派顾问团队成员近5年有办理过大型诉讼（诉讼标的额1000万元以上）或非诉法律事项（指IPO等）的，每一件得2分，最高为10分。</w:t>
            </w:r>
          </w:p>
        </w:tc>
      </w:tr>
      <w:tr>
        <w:tblPrEx>
          <w:tblCellMar>
            <w:top w:w="0" w:type="dxa"/>
            <w:left w:w="108" w:type="dxa"/>
            <w:bottom w:w="0" w:type="dxa"/>
            <w:right w:w="108" w:type="dxa"/>
          </w:tblCellMar>
        </w:tblPrEx>
        <w:trPr>
          <w:trHeight w:val="1567" w:hRule="atLeast"/>
        </w:trPr>
        <w:tc>
          <w:tcPr>
            <w:tcW w:w="538"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2525"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1749" w:type="dxa"/>
            <w:vMerge w:val="continue"/>
            <w:tcBorders>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p>
        </w:tc>
        <w:tc>
          <w:tcPr>
            <w:tcW w:w="874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⑩</w:t>
            </w:r>
            <w:r>
              <w:rPr>
                <w:rFonts w:hint="eastAsia" w:ascii="仿宋_GB2312" w:hAnsi="仿宋_GB2312" w:eastAsia="仿宋_GB2312" w:cs="仿宋_GB2312"/>
                <w:kern w:val="0"/>
                <w:sz w:val="28"/>
                <w:szCs w:val="28"/>
              </w:rPr>
              <w:t>根据投标人的工作内容，从项目团队实力、服务范围、可操作性、服务承诺等维度进行比较和评判，关注顾问团队是否兼具服务互联网、区块链、大数据、5G等类型企业法律事务等内容，该项最高为</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5分。</w:t>
            </w:r>
          </w:p>
        </w:tc>
      </w:tr>
      <w:tr>
        <w:tblPrEx>
          <w:tblCellMar>
            <w:top w:w="0" w:type="dxa"/>
            <w:left w:w="108" w:type="dxa"/>
            <w:bottom w:w="0" w:type="dxa"/>
            <w:right w:w="108" w:type="dxa"/>
          </w:tblCellMar>
        </w:tblPrEx>
        <w:trPr>
          <w:trHeight w:val="495" w:hRule="atLeast"/>
        </w:trPr>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总计</w:t>
            </w:r>
          </w:p>
        </w:tc>
        <w:tc>
          <w:tcPr>
            <w:tcW w:w="174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874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560" w:lineRule="exact"/>
              <w:ind w:firstLine="0" w:firstLineChars="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bl>
    <w:p>
      <w:pPr>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p>
      <w:pPr>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投标即表示投标人承诺服务范围、服务要求完全符合招标人要求。评分标准中所需的证明材料由投标人提供，未能提供的不加分。报价是成交的一个重要因素，但报价不是成交的唯一依据。</w:t>
      </w:r>
    </w:p>
    <w:p>
      <w:pPr>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大型非诉项目是指改制（或重组）、IPO（或上市）等非诉项目，大型诉讼项目是指涉案标的在人民币</w:t>
      </w:r>
      <w:r>
        <w:rPr>
          <w:rFonts w:hint="eastAsia" w:ascii="仿宋_GB2312" w:hAnsi="仿宋_GB2312" w:eastAsia="仿宋_GB2312" w:cs="仿宋_GB2312"/>
          <w:sz w:val="28"/>
          <w:szCs w:val="28"/>
          <w:lang w:val="en-US" w:eastAsia="zh-CN"/>
        </w:rPr>
        <w:t>1000</w:t>
      </w:r>
      <w:r>
        <w:rPr>
          <w:rFonts w:hint="eastAsia" w:ascii="仿宋_GB2312" w:hAnsi="仿宋_GB2312" w:eastAsia="仿宋_GB2312" w:cs="仿宋_GB2312"/>
          <w:sz w:val="28"/>
          <w:szCs w:val="28"/>
        </w:rPr>
        <w:t>万元以上</w:t>
      </w:r>
      <w:r>
        <w:rPr>
          <w:rFonts w:hint="eastAsia" w:ascii="仿宋_GB2312" w:hAnsi="仿宋_GB2312" w:eastAsia="仿宋_GB2312" w:cs="仿宋_GB2312"/>
          <w:sz w:val="28"/>
          <w:szCs w:val="28"/>
          <w:lang w:eastAsia="zh-CN"/>
        </w:rPr>
        <w:t>。</w:t>
      </w:r>
    </w:p>
    <w:p>
      <w:pPr>
        <w:pageBreakBefore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3.投标人请根据①至⑩项顺序提供评比材料，分项对材料进行标注。</w:t>
      </w:r>
    </w:p>
    <w:p>
      <w:pPr>
        <w:pStyle w:val="2"/>
        <w:pageBreakBefore w:val="0"/>
        <w:kinsoku/>
        <w:wordWrap/>
        <w:overflowPunct/>
        <w:topLinePunct w:val="0"/>
        <w:bidi w:val="0"/>
        <w:snapToGrid/>
        <w:spacing w:line="560" w:lineRule="exact"/>
        <w:ind w:left="0" w:leftChars="0" w:firstLine="0" w:firstLineChars="0"/>
        <w:textAlignment w:val="auto"/>
        <w:rPr>
          <w:rFonts w:hint="default"/>
          <w:lang w:val="en-US" w:eastAsia="zh-CN"/>
        </w:rPr>
      </w:pPr>
      <w:r>
        <w:rPr>
          <w:rFonts w:hint="eastAsia" w:ascii="仿宋_GB2312" w:hAnsi="仿宋_GB2312" w:eastAsia="仿宋_GB2312" w:cs="仿宋_GB2312"/>
          <w:sz w:val="28"/>
          <w:szCs w:val="28"/>
          <w:lang w:val="en-US" w:eastAsia="zh-CN"/>
        </w:rPr>
        <w:t xml:space="preserve">    </w:t>
      </w:r>
    </w:p>
    <w:p>
      <w:pPr>
        <w:pageBreakBefore w:val="0"/>
        <w:kinsoku/>
        <w:wordWrap/>
        <w:overflowPunct/>
        <w:topLinePunct w:val="0"/>
        <w:bidi w:val="0"/>
        <w:snapToGrid/>
        <w:spacing w:line="560" w:lineRule="exact"/>
        <w:ind w:firstLine="640"/>
        <w:textAlignment w:val="auto"/>
        <w:rPr>
          <w:rFonts w:ascii="仿宋_GB2312" w:hAnsi="仿宋_GB2312" w:eastAsia="仿宋_GB2312" w:cs="仿宋_GB2312"/>
          <w:sz w:val="32"/>
          <w:szCs w:val="32"/>
        </w:rPr>
      </w:pPr>
    </w:p>
    <w:p>
      <w:pPr>
        <w:pageBreakBefore w:val="0"/>
        <w:kinsoku/>
        <w:wordWrap/>
        <w:overflowPunct/>
        <w:topLinePunct w:val="0"/>
        <w:bidi w:val="0"/>
        <w:snapToGrid/>
        <w:spacing w:line="560" w:lineRule="exact"/>
        <w:ind w:left="0" w:leftChars="0" w:firstLine="0" w:firstLineChars="0"/>
        <w:textAlignment w:val="auto"/>
        <w:rPr>
          <w:rFonts w:hint="eastAsia" w:ascii="黑体" w:hAnsi="黑体" w:eastAsia="黑体" w:cs="黑体"/>
          <w:sz w:val="32"/>
          <w:szCs w:val="32"/>
          <w:lang w:val="en-US" w:eastAsia="zh-CN"/>
        </w:rPr>
        <w:sectPr>
          <w:pgSz w:w="16838" w:h="11906" w:orient="landscape"/>
          <w:pgMar w:top="1803" w:right="1440" w:bottom="1803" w:left="1440" w:header="851" w:footer="992" w:gutter="0"/>
          <w:cols w:space="0" w:num="1"/>
          <w:rtlGutter w:val="0"/>
          <w:docGrid w:type="lines" w:linePitch="395" w:charSpace="0"/>
        </w:sectPr>
      </w:pPr>
    </w:p>
    <w:p>
      <w:pPr>
        <w:pageBreakBefore w:val="0"/>
        <w:kinsoku/>
        <w:wordWrap/>
        <w:overflowPunct/>
        <w:topLinePunct w:val="0"/>
        <w:bidi w:val="0"/>
        <w:snapToGrid/>
        <w:spacing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、支付方式</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年度服务后一次性支付；中标单位需承担公司外部评标专家本次评审费用（总计不超过2000元）。</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七、响应文件资料要求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1.营业执照：参选人名称与营业执照名称一致</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2.法定代表人授权委托书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3.供应商综合情况简介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5.服务方案：提供符合本单位实际，内容详尽、方法科学的服务方案及计划。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6.供应商其他相关资质材料。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7.无重大违法记录声明函、无不良信用记录声明函。</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八、响应文件格式</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1.法定代表人授权委托书</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兹委托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（全名和职务）代表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（供应商名称）参加贵单位组织的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采购活动，并以此授权其全权代表我方处理本次采购活动的一切事宜。被授权代表无权转让委托权。</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法定代表人签名：                委托代理人签名：                          </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供应商（章）：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日      期  ：     年  月   日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附身份证复印件：</w:t>
      </w:r>
    </w:p>
    <w:p>
      <w:pPr>
        <w:keepNext w:val="0"/>
        <w:keepLines w:val="0"/>
        <w:pageBreakBefore w:val="0"/>
        <w:kinsoku/>
        <w:wordWrap/>
        <w:overflowPunct/>
        <w:topLinePunct w:val="0"/>
        <w:bidi w:val="0"/>
        <w:snapToGrid/>
        <w:spacing w:line="560" w:lineRule="exact"/>
        <w:textAlignment w:val="auto"/>
        <w:rPr>
          <w:rFonts w:hint="default"/>
          <w:lang w:val="en-US" w:eastAsia="zh-CN"/>
        </w:rPr>
      </w:pPr>
      <w:r>
        <w:rPr>
          <w:rFonts w:hint="default"/>
          <w:lang w:val="en-US" w:eastAsia="zh-CN"/>
        </w:rPr>
        <w:br w:type="page"/>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2.报价函</w:t>
      </w:r>
    </w:p>
    <w:tbl>
      <w:tblPr>
        <w:tblStyle w:val="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625"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rPr>
              <w:t>名称</w:t>
            </w:r>
          </w:p>
        </w:tc>
        <w:tc>
          <w:tcPr>
            <w:tcW w:w="6480"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625"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总报价（元）</w:t>
            </w:r>
          </w:p>
        </w:tc>
        <w:tc>
          <w:tcPr>
            <w:tcW w:w="6480"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元整</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9105" w:type="dxa"/>
            <w:gridSpan w:val="2"/>
            <w:noWrap w:val="0"/>
            <w:vAlign w:val="top"/>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其他说明：</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tc>
      </w:tr>
    </w:tbl>
    <w:p>
      <w:pPr>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3.无重大违法记录声明函、无不良信用记录声明函</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郑重声明，根据《中华人民共和国政府采购法》及《中华人民共和国政府采购法实施条例》的规定，参加政府采购活动前三年内，</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在经营活动中没有重大违法记录，没有因违法经营受到刑事处罚或者责令停产停业、吊销许可证或者执照、较大数额罚款等行政处罚。</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 xml:space="preserve">郑重声明，符合下列情形之一： </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谈判日前两年内未被合肥市及其所辖县（市）公共资源交易监督管理局记不良行为记录或记不良行为记录累计未满10分的；</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最近一次被合肥市及其所辖县（市）公共资源交易监督管理局记不良行为记录累计记分达10分（含10分）到15分且公布日距谈判日超过6个月；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最近一次被合肥市及其所辖县（市）公共资源交易监督管理局记不良行为记录累计记分达15分（含15分）到20分且公布日距谈判日超过12个月；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最近一次被合肥市及其所辖县（市）公共资源交易监督管理局记不良行为记录累计记分达20分（含20分）及以上且公布日距谈判日超过24个月。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无以下不良信用记录情形：</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被人民法院列入失信被执行人；</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法定代表人或拟派项目经理（项目负责人）被人民检察院列入行贿犯罪档案；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被工商行政管理部门列入企业经营异常名录；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被税务部门列入重大税收违法案件当事人名单；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被政府采购监管部门列入政府采购严重违法失信行为记录名单。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已就上述不良信用行为按照谈判文件中供应商须知前附表规定进行了查询。承诺：合同签订前，若</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具有不良信用记录情形，贵方可取消</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成交资格或者不授予合同，所有责任由我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自行承担。同时，我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愿意无条件接受监管部门的调查处理。</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对上述声明的真实性负责。如有虚假，将依法承担相应责任。</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                        日    期：                       </w:t>
      </w:r>
    </w:p>
    <w:p>
      <w:pPr>
        <w:pageBreakBefore w:val="0"/>
        <w:kinsoku/>
        <w:wordWrap/>
        <w:overflowPunct/>
        <w:topLinePunct w:val="0"/>
        <w:bidi w:val="0"/>
        <w:snapToGrid/>
        <w:spacing w:line="560" w:lineRule="exact"/>
        <w:textAlignment w:val="auto"/>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b/>
          <w:bCs/>
          <w:sz w:val="32"/>
          <w:szCs w:val="32"/>
          <w:lang w:val="en-US" w:eastAsia="zh-CN"/>
        </w:rPr>
        <w:t>九、联系方式及日期要求</w:t>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响应要求：请于2021年12月24日前将投标文件（一式一份）寄送至合肥市大数据资产运营有限公司。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地址：合肥市高新区中安创谷产业园D9栋6层</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联系人：桂经理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联系方式：13061980981</w:t>
      </w:r>
    </w:p>
    <w:p>
      <w:pPr>
        <w:pStyle w:val="10"/>
        <w:keepNext w:val="0"/>
        <w:keepLines w:val="0"/>
        <w:pageBreakBefore w:val="0"/>
        <w:kinsoku/>
        <w:wordWrap/>
        <w:overflowPunct/>
        <w:topLinePunct w:val="0"/>
        <w:bidi w:val="0"/>
        <w:snapToGrid/>
        <w:spacing w:line="560" w:lineRule="exact"/>
        <w:textAlignment w:val="auto"/>
        <w:rPr>
          <w:rFonts w:hint="eastAsia"/>
          <w:lang w:val="en-US" w:eastAsia="zh-CN"/>
        </w:rPr>
      </w:pPr>
    </w:p>
    <w:p>
      <w:pPr>
        <w:pStyle w:val="10"/>
        <w:pageBreakBefore w:val="0"/>
        <w:kinsoku/>
        <w:wordWrap/>
        <w:overflowPunct/>
        <w:topLinePunct w:val="0"/>
        <w:bidi w:val="0"/>
        <w:snapToGrid/>
        <w:spacing w:line="560" w:lineRule="exact"/>
        <w:textAlignment w:val="auto"/>
      </w:pPr>
    </w:p>
    <w:sectPr>
      <w:pgSz w:w="11906" w:h="16838"/>
      <w:pgMar w:top="1440" w:right="1803" w:bottom="1440" w:left="1803" w:header="851" w:footer="992" w:gutter="0"/>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47883"/>
    <w:multiLevelType w:val="singleLevel"/>
    <w:tmpl w:val="18647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9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21F90"/>
    <w:rsid w:val="003C0F7A"/>
    <w:rsid w:val="006127E4"/>
    <w:rsid w:val="01D36F04"/>
    <w:rsid w:val="04D01CAC"/>
    <w:rsid w:val="06147E59"/>
    <w:rsid w:val="0A982E07"/>
    <w:rsid w:val="0B41524D"/>
    <w:rsid w:val="0B8C4358"/>
    <w:rsid w:val="0C090D27"/>
    <w:rsid w:val="1189482F"/>
    <w:rsid w:val="131D034D"/>
    <w:rsid w:val="14D34E5E"/>
    <w:rsid w:val="1B8D2C3F"/>
    <w:rsid w:val="1E2C1486"/>
    <w:rsid w:val="1E9E1B6C"/>
    <w:rsid w:val="21740AB9"/>
    <w:rsid w:val="219F723C"/>
    <w:rsid w:val="26404750"/>
    <w:rsid w:val="298567F4"/>
    <w:rsid w:val="29B50A33"/>
    <w:rsid w:val="2B8878D2"/>
    <w:rsid w:val="2F836C4E"/>
    <w:rsid w:val="30CB3914"/>
    <w:rsid w:val="313C5A67"/>
    <w:rsid w:val="3361798A"/>
    <w:rsid w:val="3402116D"/>
    <w:rsid w:val="345A2AA8"/>
    <w:rsid w:val="34C208FD"/>
    <w:rsid w:val="35C12962"/>
    <w:rsid w:val="36797273"/>
    <w:rsid w:val="373430D5"/>
    <w:rsid w:val="37696F31"/>
    <w:rsid w:val="383B2EA0"/>
    <w:rsid w:val="388A1731"/>
    <w:rsid w:val="397D1296"/>
    <w:rsid w:val="399D5494"/>
    <w:rsid w:val="3A282FB0"/>
    <w:rsid w:val="3B1D1F32"/>
    <w:rsid w:val="3B450930"/>
    <w:rsid w:val="3C7B3BC8"/>
    <w:rsid w:val="3F035D9A"/>
    <w:rsid w:val="3F834A4F"/>
    <w:rsid w:val="3F8A64BB"/>
    <w:rsid w:val="4292190E"/>
    <w:rsid w:val="43BD416B"/>
    <w:rsid w:val="4618037D"/>
    <w:rsid w:val="47DD7AD0"/>
    <w:rsid w:val="48873801"/>
    <w:rsid w:val="48A405ED"/>
    <w:rsid w:val="4C8F03D9"/>
    <w:rsid w:val="514A5AAA"/>
    <w:rsid w:val="521B639E"/>
    <w:rsid w:val="53171558"/>
    <w:rsid w:val="537A6681"/>
    <w:rsid w:val="540314DD"/>
    <w:rsid w:val="5651697C"/>
    <w:rsid w:val="56B66E89"/>
    <w:rsid w:val="56EF5ACC"/>
    <w:rsid w:val="58013FFA"/>
    <w:rsid w:val="58B37C11"/>
    <w:rsid w:val="59762F6D"/>
    <w:rsid w:val="614147D4"/>
    <w:rsid w:val="62117115"/>
    <w:rsid w:val="62175534"/>
    <w:rsid w:val="63ED0C43"/>
    <w:rsid w:val="67EE6D37"/>
    <w:rsid w:val="6868654D"/>
    <w:rsid w:val="6B8533ED"/>
    <w:rsid w:val="6CD75492"/>
    <w:rsid w:val="6F51652A"/>
    <w:rsid w:val="6FA21F90"/>
    <w:rsid w:val="6FD56F74"/>
    <w:rsid w:val="6FDE56CA"/>
    <w:rsid w:val="74023322"/>
    <w:rsid w:val="77DB696C"/>
    <w:rsid w:val="7BD36518"/>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ext"/>
    <w:basedOn w:val="1"/>
    <w:qFormat/>
    <w:uiPriority w:val="0"/>
    <w:pPr>
      <w:ind w:left="1021"/>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9">
    <w:name w:val="首行缩进"/>
    <w:basedOn w:val="1"/>
    <w:unhideWhenUsed/>
    <w:qFormat/>
    <w:uiPriority w:val="0"/>
    <w:pPr>
      <w:ind w:firstLine="480" w:firstLineChars="200"/>
    </w:pPr>
    <w:rPr>
      <w:kern w:val="0"/>
      <w:szCs w:val="20"/>
      <w:lang w:val="zh-CN"/>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D&amp;L"/>
    <w:basedOn w:val="6"/>
    <w:qFormat/>
    <w:uiPriority w:val="0"/>
    <w:pPr>
      <w:pBdr>
        <w:bottom w:val="thinThickSmallGap" w:color="auto" w:sz="18" w:space="1"/>
      </w:pBdr>
      <w:adjustRightInd w:val="0"/>
      <w:snapToGrid/>
      <w:spacing w:line="240" w:lineRule="atLeast"/>
      <w:ind w:firstLine="0" w:firstLineChars="0"/>
      <w:textAlignment w:val="baseline"/>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2021-10-29T07:45:00Z</dcterms:created>
  <dc:creator>admin</dc:creator>
  <cp:lastModifiedBy>阮大神</cp:lastModifiedBy>
  <cp:lastPrinted>2021-12-17T07:28:00Z</cp:lastPrinted>
  <dcterms:modified xsi:type="dcterms:W3CDTF">2021-12-20T01:10:09Z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FB92CD277A154840AFABE069C8EA7C2F</vt:lpwstr>
  </property>
</Properties>
</file>